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D4" w:rsidRPr="00264D82" w:rsidRDefault="00F32ED4" w:rsidP="00A72676">
      <w:pPr>
        <w:ind w:right="-149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Este relatório de voto de vistas está dividido em quatro partes</w:t>
      </w:r>
      <w:r w:rsidR="000942DF" w:rsidRPr="00264D82">
        <w:rPr>
          <w:rFonts w:ascii="Times New Roman" w:hAnsi="Times New Roman"/>
          <w:b/>
          <w:sz w:val="22"/>
          <w:szCs w:val="22"/>
        </w:rPr>
        <w:t xml:space="preserve"> e no voto do Relator. As quatro partes são as seguintes</w:t>
      </w:r>
      <w:r w:rsidRPr="00264D82">
        <w:rPr>
          <w:rFonts w:ascii="Times New Roman" w:hAnsi="Times New Roman"/>
          <w:b/>
          <w:sz w:val="22"/>
          <w:szCs w:val="22"/>
        </w:rPr>
        <w:t>:</w:t>
      </w:r>
    </w:p>
    <w:p w:rsidR="00F32ED4" w:rsidRPr="00264D82" w:rsidRDefault="00F32ED4" w:rsidP="00A72676">
      <w:pPr>
        <w:ind w:right="-149"/>
        <w:jc w:val="both"/>
        <w:rPr>
          <w:rFonts w:ascii="Times New Roman" w:hAnsi="Times New Roman"/>
          <w:sz w:val="22"/>
          <w:szCs w:val="22"/>
        </w:rPr>
      </w:pPr>
    </w:p>
    <w:p w:rsidR="00F32ED4" w:rsidRPr="00264D82" w:rsidRDefault="00F32ED4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134"/>
        <w:jc w:val="both"/>
        <w:rPr>
          <w:sz w:val="22"/>
          <w:szCs w:val="22"/>
        </w:rPr>
      </w:pPr>
      <w:r w:rsidRPr="00264D82">
        <w:rPr>
          <w:sz w:val="22"/>
          <w:szCs w:val="22"/>
        </w:rPr>
        <w:t>Parte 1</w:t>
      </w:r>
      <w:r w:rsidR="00A72676" w:rsidRPr="00264D82">
        <w:rPr>
          <w:sz w:val="22"/>
          <w:szCs w:val="22"/>
        </w:rPr>
        <w:t>:</w:t>
      </w:r>
      <w:r w:rsidRPr="00264D82">
        <w:rPr>
          <w:sz w:val="22"/>
          <w:szCs w:val="22"/>
        </w:rPr>
        <w:t xml:space="preserve"> </w:t>
      </w:r>
      <w:r w:rsidR="00534B33" w:rsidRPr="00264D82">
        <w:rPr>
          <w:sz w:val="22"/>
          <w:szCs w:val="22"/>
        </w:rPr>
        <w:t>Referente ao Processo Administrativo – Definição do Organograma Geral do CAU/PR</w:t>
      </w:r>
      <w:r w:rsidR="00A72676" w:rsidRPr="00264D82">
        <w:rPr>
          <w:sz w:val="22"/>
          <w:szCs w:val="22"/>
        </w:rPr>
        <w:t>.</w:t>
      </w:r>
      <w:r w:rsidRPr="00264D82">
        <w:rPr>
          <w:sz w:val="22"/>
          <w:szCs w:val="22"/>
        </w:rPr>
        <w:t xml:space="preserve"> </w:t>
      </w:r>
    </w:p>
    <w:p w:rsidR="00534B33" w:rsidRPr="00264D82" w:rsidRDefault="00A72676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134"/>
        <w:jc w:val="both"/>
        <w:rPr>
          <w:b w:val="0"/>
          <w:sz w:val="22"/>
          <w:szCs w:val="22"/>
        </w:rPr>
      </w:pPr>
      <w:r w:rsidRPr="00264D82">
        <w:rPr>
          <w:b w:val="0"/>
          <w:sz w:val="22"/>
          <w:szCs w:val="22"/>
        </w:rPr>
        <w:t>T</w:t>
      </w:r>
      <w:r w:rsidR="00F32ED4" w:rsidRPr="00264D82">
        <w:rPr>
          <w:b w:val="0"/>
          <w:sz w:val="22"/>
          <w:szCs w:val="22"/>
        </w:rPr>
        <w:t xml:space="preserve">rata da </w:t>
      </w:r>
      <w:r w:rsidR="00534B33" w:rsidRPr="00264D82">
        <w:rPr>
          <w:b w:val="0"/>
          <w:sz w:val="22"/>
          <w:szCs w:val="22"/>
        </w:rPr>
        <w:t>importância do Organograma a partir da Resolução CAU/BR n</w:t>
      </w:r>
      <w:r w:rsidR="00534B33" w:rsidRPr="00264D82">
        <w:rPr>
          <w:b w:val="0"/>
          <w:sz w:val="22"/>
          <w:szCs w:val="22"/>
          <w:vertAlign w:val="superscript"/>
        </w:rPr>
        <w:t>o</w:t>
      </w:r>
      <w:r w:rsidR="00534B33" w:rsidRPr="00264D82">
        <w:rPr>
          <w:b w:val="0"/>
          <w:sz w:val="22"/>
          <w:szCs w:val="22"/>
        </w:rPr>
        <w:t xml:space="preserve"> 139/2017, a não obrigatoriedade antes da Resolução.</w:t>
      </w:r>
    </w:p>
    <w:p w:rsidR="00534B33" w:rsidRPr="00264D82" w:rsidRDefault="00534B33" w:rsidP="00A72676">
      <w:pPr>
        <w:pStyle w:val="Ttulo"/>
        <w:tabs>
          <w:tab w:val="left" w:pos="748"/>
          <w:tab w:val="right" w:leader="dot" w:pos="8789"/>
        </w:tabs>
        <w:spacing w:line="240" w:lineRule="auto"/>
        <w:ind w:left="1417"/>
        <w:jc w:val="both"/>
        <w:rPr>
          <w:b w:val="0"/>
          <w:sz w:val="22"/>
          <w:szCs w:val="22"/>
        </w:rPr>
      </w:pPr>
    </w:p>
    <w:p w:rsidR="00F32ED4" w:rsidRPr="00264D82" w:rsidRDefault="00F32ED4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sz w:val="22"/>
          <w:szCs w:val="22"/>
        </w:rPr>
      </w:pPr>
      <w:r w:rsidRPr="00264D82">
        <w:rPr>
          <w:sz w:val="22"/>
          <w:szCs w:val="22"/>
        </w:rPr>
        <w:t>Parte 2</w:t>
      </w:r>
      <w:r w:rsidR="00A72676" w:rsidRPr="00264D82">
        <w:rPr>
          <w:sz w:val="22"/>
          <w:szCs w:val="22"/>
        </w:rPr>
        <w:t>:</w:t>
      </w:r>
      <w:r w:rsidRPr="00264D82">
        <w:rPr>
          <w:sz w:val="22"/>
          <w:szCs w:val="22"/>
        </w:rPr>
        <w:t xml:space="preserve"> </w:t>
      </w:r>
      <w:r w:rsidR="00534B33" w:rsidRPr="00264D82">
        <w:rPr>
          <w:sz w:val="22"/>
          <w:szCs w:val="22"/>
        </w:rPr>
        <w:t>Referente à “MINUTA DE DELIBERAÇÃO PLENÁRIO e ANEXOS”</w:t>
      </w:r>
      <w:r w:rsidR="00A72676" w:rsidRPr="00264D82">
        <w:rPr>
          <w:sz w:val="22"/>
          <w:szCs w:val="22"/>
        </w:rPr>
        <w:t>.</w:t>
      </w:r>
    </w:p>
    <w:p w:rsidR="00534B33" w:rsidRPr="00264D82" w:rsidRDefault="00A72676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b w:val="0"/>
          <w:sz w:val="22"/>
          <w:szCs w:val="22"/>
        </w:rPr>
      </w:pPr>
      <w:r w:rsidRPr="00264D82">
        <w:rPr>
          <w:b w:val="0"/>
          <w:sz w:val="22"/>
          <w:szCs w:val="22"/>
        </w:rPr>
        <w:t xml:space="preserve">Refere-se </w:t>
      </w:r>
      <w:r w:rsidR="00F32ED4" w:rsidRPr="00264D82">
        <w:rPr>
          <w:b w:val="0"/>
          <w:sz w:val="22"/>
          <w:szCs w:val="22"/>
        </w:rPr>
        <w:t xml:space="preserve">à </w:t>
      </w:r>
      <w:r w:rsidR="00534B33" w:rsidRPr="00264D82">
        <w:rPr>
          <w:b w:val="0"/>
          <w:sz w:val="22"/>
          <w:szCs w:val="22"/>
        </w:rPr>
        <w:t>Pauta da 92</w:t>
      </w:r>
      <w:r w:rsidR="00534B33" w:rsidRPr="00264D82">
        <w:rPr>
          <w:b w:val="0"/>
          <w:sz w:val="22"/>
          <w:szCs w:val="22"/>
          <w:vertAlign w:val="superscript"/>
        </w:rPr>
        <w:t>a</w:t>
      </w:r>
      <w:r w:rsidR="00534B33" w:rsidRPr="00264D82">
        <w:rPr>
          <w:b w:val="0"/>
          <w:sz w:val="22"/>
          <w:szCs w:val="22"/>
        </w:rPr>
        <w:t xml:space="preserve"> Reunião Plenária Ordinária do CAU/PR, enviada aos Conselheiros</w:t>
      </w:r>
      <w:r w:rsidR="00F32ED4" w:rsidRPr="00264D82">
        <w:rPr>
          <w:b w:val="0"/>
          <w:sz w:val="22"/>
          <w:szCs w:val="22"/>
        </w:rPr>
        <w:t xml:space="preserve">, na qual </w:t>
      </w:r>
      <w:r w:rsidR="00534B33" w:rsidRPr="00264D82">
        <w:rPr>
          <w:b w:val="0"/>
          <w:sz w:val="22"/>
          <w:szCs w:val="22"/>
        </w:rPr>
        <w:t>constava “1. Projeto de Deliberação Plenária que aprova o Organograma do CAU/PR (Origem COA/</w:t>
      </w:r>
      <w:proofErr w:type="spellStart"/>
      <w:proofErr w:type="gramStart"/>
      <w:r w:rsidR="00534B33" w:rsidRPr="00264D82">
        <w:rPr>
          <w:b w:val="0"/>
          <w:sz w:val="22"/>
          <w:szCs w:val="22"/>
        </w:rPr>
        <w:t>CPFi</w:t>
      </w:r>
      <w:proofErr w:type="spellEnd"/>
      <w:r w:rsidR="00534B33" w:rsidRPr="00264D82">
        <w:rPr>
          <w:b w:val="0"/>
          <w:sz w:val="22"/>
          <w:szCs w:val="22"/>
        </w:rPr>
        <w:t>)”</w:t>
      </w:r>
      <w:proofErr w:type="gramEnd"/>
      <w:r w:rsidR="00534B33" w:rsidRPr="00264D82">
        <w:rPr>
          <w:b w:val="0"/>
          <w:sz w:val="22"/>
          <w:szCs w:val="22"/>
        </w:rPr>
        <w:t>. 1) Há problema Regimental, porque conteúdo não é de origem da COA/</w:t>
      </w:r>
      <w:proofErr w:type="spellStart"/>
      <w:r w:rsidR="00534B33" w:rsidRPr="00264D82">
        <w:rPr>
          <w:b w:val="0"/>
          <w:sz w:val="22"/>
          <w:szCs w:val="22"/>
        </w:rPr>
        <w:t>CPFi</w:t>
      </w:r>
      <w:proofErr w:type="spellEnd"/>
      <w:r w:rsidR="00534B33" w:rsidRPr="00264D82">
        <w:rPr>
          <w:b w:val="0"/>
          <w:sz w:val="22"/>
          <w:szCs w:val="22"/>
        </w:rPr>
        <w:t>, estas Comissões receberam o material pronto, a origem é da Presidente e ou dos Funcionários do CAU/PR. 2</w:t>
      </w:r>
      <w:proofErr w:type="gramStart"/>
      <w:r w:rsidR="00534B33" w:rsidRPr="00264D82">
        <w:rPr>
          <w:b w:val="0"/>
          <w:sz w:val="22"/>
          <w:szCs w:val="22"/>
        </w:rPr>
        <w:t>) No</w:t>
      </w:r>
      <w:proofErr w:type="gramEnd"/>
      <w:r w:rsidR="00534B33" w:rsidRPr="00264D82">
        <w:rPr>
          <w:b w:val="0"/>
          <w:sz w:val="22"/>
          <w:szCs w:val="22"/>
        </w:rPr>
        <w:t xml:space="preserve"> momento da reunião Plenária foi apresentada Minuta de Deliberação Plenária com propostas e temas muito além do Organograma. </w:t>
      </w:r>
    </w:p>
    <w:p w:rsidR="00534B33" w:rsidRPr="00264D82" w:rsidRDefault="00534B33" w:rsidP="00A72676">
      <w:pPr>
        <w:spacing w:before="120" w:after="120"/>
        <w:ind w:left="708" w:firstLine="720"/>
        <w:jc w:val="both"/>
        <w:rPr>
          <w:rFonts w:ascii="Times New Roman" w:hAnsi="Times New Roman"/>
          <w:sz w:val="22"/>
          <w:szCs w:val="22"/>
        </w:rPr>
      </w:pPr>
    </w:p>
    <w:p w:rsidR="00F32ED4" w:rsidRPr="00264D82" w:rsidRDefault="00F32ED4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bCs w:val="0"/>
          <w:sz w:val="22"/>
          <w:szCs w:val="22"/>
        </w:rPr>
      </w:pPr>
      <w:r w:rsidRPr="00264D82">
        <w:rPr>
          <w:sz w:val="22"/>
          <w:szCs w:val="22"/>
        </w:rPr>
        <w:t>Parte 3</w:t>
      </w:r>
      <w:r w:rsidR="00A72676" w:rsidRPr="00264D82">
        <w:rPr>
          <w:sz w:val="22"/>
          <w:szCs w:val="22"/>
        </w:rPr>
        <w:t xml:space="preserve">: Sobre o </w:t>
      </w:r>
      <w:r w:rsidR="00534B33" w:rsidRPr="00264D82">
        <w:rPr>
          <w:sz w:val="22"/>
          <w:szCs w:val="22"/>
        </w:rPr>
        <w:t>ORGANOGRAMA APRESENTADO AOS CONSELHEIROS</w:t>
      </w:r>
    </w:p>
    <w:p w:rsidR="00534B33" w:rsidRPr="00264D82" w:rsidRDefault="00A72676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b w:val="0"/>
          <w:sz w:val="22"/>
          <w:szCs w:val="22"/>
        </w:rPr>
      </w:pPr>
      <w:r w:rsidRPr="00264D82">
        <w:rPr>
          <w:bCs w:val="0"/>
          <w:sz w:val="22"/>
          <w:szCs w:val="22"/>
        </w:rPr>
        <w:t>T</w:t>
      </w:r>
      <w:r w:rsidR="00F32ED4" w:rsidRPr="00264D82">
        <w:rPr>
          <w:bCs w:val="0"/>
          <w:sz w:val="22"/>
          <w:szCs w:val="22"/>
        </w:rPr>
        <w:t>rata da a</w:t>
      </w:r>
      <w:r w:rsidR="00534B33" w:rsidRPr="00264D82">
        <w:rPr>
          <w:b w:val="0"/>
          <w:sz w:val="22"/>
          <w:szCs w:val="22"/>
        </w:rPr>
        <w:t>nálise das falhas e ilegalidades do Organograma apresentado aos Conselheiros no momento da Plenária.</w:t>
      </w:r>
    </w:p>
    <w:p w:rsidR="00534B33" w:rsidRPr="00264D82" w:rsidRDefault="00534B33" w:rsidP="00A72676">
      <w:pPr>
        <w:spacing w:before="120" w:after="120"/>
        <w:ind w:left="708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534B33" w:rsidRPr="00264D82" w:rsidRDefault="00F32ED4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bCs w:val="0"/>
          <w:sz w:val="22"/>
          <w:szCs w:val="22"/>
        </w:rPr>
      </w:pPr>
      <w:r w:rsidRPr="00264D82">
        <w:rPr>
          <w:sz w:val="22"/>
          <w:szCs w:val="22"/>
        </w:rPr>
        <w:t>Parte 4</w:t>
      </w:r>
      <w:r w:rsidR="00A72676" w:rsidRPr="00264D82">
        <w:rPr>
          <w:sz w:val="22"/>
          <w:szCs w:val="22"/>
        </w:rPr>
        <w:t>:</w:t>
      </w:r>
      <w:r w:rsidRPr="00264D82">
        <w:rPr>
          <w:sz w:val="22"/>
          <w:szCs w:val="22"/>
        </w:rPr>
        <w:t xml:space="preserve"> </w:t>
      </w:r>
      <w:r w:rsidR="00534B33" w:rsidRPr="00264D82">
        <w:rPr>
          <w:sz w:val="22"/>
          <w:szCs w:val="22"/>
        </w:rPr>
        <w:t>SOBRE OS CARGOS E ORGANOGRAMAS - Histórico e Evolução</w:t>
      </w:r>
    </w:p>
    <w:p w:rsidR="00534B33" w:rsidRPr="00264D82" w:rsidRDefault="00A72676" w:rsidP="00A72676">
      <w:pPr>
        <w:pStyle w:val="Ttulo"/>
        <w:tabs>
          <w:tab w:val="left" w:pos="748"/>
          <w:tab w:val="right" w:leader="dot" w:pos="9214"/>
        </w:tabs>
        <w:spacing w:line="240" w:lineRule="auto"/>
        <w:ind w:left="708" w:right="-149"/>
        <w:jc w:val="both"/>
        <w:rPr>
          <w:b w:val="0"/>
          <w:sz w:val="22"/>
          <w:szCs w:val="22"/>
        </w:rPr>
      </w:pPr>
      <w:r w:rsidRPr="00264D82">
        <w:rPr>
          <w:bCs w:val="0"/>
          <w:sz w:val="22"/>
          <w:szCs w:val="22"/>
        </w:rPr>
        <w:t>T</w:t>
      </w:r>
      <w:r w:rsidR="00F32ED4" w:rsidRPr="00264D82">
        <w:rPr>
          <w:bCs w:val="0"/>
          <w:sz w:val="22"/>
          <w:szCs w:val="22"/>
        </w:rPr>
        <w:t>rata do h</w:t>
      </w:r>
      <w:r w:rsidR="00534B33" w:rsidRPr="00264D82">
        <w:rPr>
          <w:b w:val="0"/>
          <w:sz w:val="22"/>
          <w:szCs w:val="22"/>
        </w:rPr>
        <w:t>istórico dos cargos no CAU/PR, pelos Regimentos Internos, e as representações gráficas apresentadas em organogramas.</w:t>
      </w:r>
      <w:r w:rsidR="00F32ED4" w:rsidRPr="00264D82">
        <w:rPr>
          <w:b w:val="0"/>
          <w:sz w:val="22"/>
          <w:szCs w:val="22"/>
        </w:rPr>
        <w:t xml:space="preserve"> S</w:t>
      </w:r>
      <w:r w:rsidR="00534B33" w:rsidRPr="00264D82">
        <w:rPr>
          <w:b w:val="0"/>
          <w:sz w:val="22"/>
          <w:szCs w:val="22"/>
        </w:rPr>
        <w:t>omente em 28 de abril de 2017, através da Resolução CAU/BR n</w:t>
      </w:r>
      <w:r w:rsidR="00534B33" w:rsidRPr="00264D82">
        <w:rPr>
          <w:b w:val="0"/>
          <w:sz w:val="22"/>
          <w:szCs w:val="22"/>
          <w:vertAlign w:val="superscript"/>
        </w:rPr>
        <w:t>o</w:t>
      </w:r>
      <w:r w:rsidR="00534B33" w:rsidRPr="00264D82">
        <w:rPr>
          <w:b w:val="0"/>
          <w:sz w:val="22"/>
          <w:szCs w:val="22"/>
        </w:rPr>
        <w:t xml:space="preserve"> 139, que os organogramas, em anexo aos Regimentos Internos, passam a ser os determinantes dos cargos, e não corpo do texto do Regimento Interno.</w:t>
      </w:r>
    </w:p>
    <w:p w:rsidR="00A72676" w:rsidRPr="00264D82" w:rsidRDefault="00A72676" w:rsidP="00A72676">
      <w:pPr>
        <w:pStyle w:val="Ttulo"/>
        <w:tabs>
          <w:tab w:val="left" w:pos="748"/>
          <w:tab w:val="right" w:leader="dot" w:pos="9214"/>
        </w:tabs>
        <w:spacing w:line="240" w:lineRule="auto"/>
        <w:ind w:right="-149"/>
        <w:jc w:val="both"/>
        <w:rPr>
          <w:rStyle w:val="Forte"/>
          <w:b/>
          <w:sz w:val="22"/>
          <w:szCs w:val="22"/>
        </w:rPr>
      </w:pPr>
    </w:p>
    <w:p w:rsidR="000942DF" w:rsidRPr="00264D82" w:rsidRDefault="000942DF" w:rsidP="00A72676">
      <w:pPr>
        <w:pStyle w:val="Ttulo"/>
        <w:tabs>
          <w:tab w:val="left" w:pos="748"/>
          <w:tab w:val="right" w:leader="dot" w:pos="9214"/>
        </w:tabs>
        <w:spacing w:line="240" w:lineRule="auto"/>
        <w:ind w:right="-149"/>
        <w:jc w:val="both"/>
        <w:rPr>
          <w:rStyle w:val="Forte"/>
          <w:b/>
          <w:sz w:val="22"/>
          <w:szCs w:val="22"/>
        </w:rPr>
      </w:pPr>
    </w:p>
    <w:p w:rsidR="000942DF" w:rsidRPr="00264D82" w:rsidRDefault="000942DF" w:rsidP="00A72676">
      <w:pPr>
        <w:pStyle w:val="Ttulo"/>
        <w:tabs>
          <w:tab w:val="left" w:pos="748"/>
          <w:tab w:val="right" w:leader="dot" w:pos="9214"/>
        </w:tabs>
        <w:spacing w:line="240" w:lineRule="auto"/>
        <w:ind w:right="-149"/>
        <w:jc w:val="both"/>
        <w:rPr>
          <w:rStyle w:val="Forte"/>
          <w:b/>
          <w:sz w:val="22"/>
          <w:szCs w:val="22"/>
        </w:rPr>
      </w:pPr>
      <w:r w:rsidRPr="00264D82">
        <w:rPr>
          <w:rStyle w:val="Forte"/>
          <w:b/>
          <w:sz w:val="22"/>
          <w:szCs w:val="22"/>
        </w:rPr>
        <w:t>Após a apresentação dessas quatro partes, o relator proferirá o seu voto em relação ao projeto analisado.</w:t>
      </w:r>
    </w:p>
    <w:p w:rsidR="00A72676" w:rsidRPr="00264D82" w:rsidRDefault="00A72676" w:rsidP="00A72676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:rsidR="00534B33" w:rsidRPr="00264D82" w:rsidRDefault="00F32ED4" w:rsidP="00A72676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Parte 1</w:t>
      </w:r>
      <w:proofErr w:type="gramStart"/>
      <w:r w:rsidRPr="00264D82">
        <w:rPr>
          <w:rFonts w:ascii="Times New Roman" w:hAnsi="Times New Roman"/>
          <w:b/>
          <w:sz w:val="22"/>
          <w:szCs w:val="22"/>
        </w:rPr>
        <w:t xml:space="preserve">) </w:t>
      </w:r>
      <w:r w:rsidR="00534B33" w:rsidRPr="00264D82">
        <w:rPr>
          <w:rFonts w:ascii="Times New Roman" w:hAnsi="Times New Roman"/>
          <w:b/>
          <w:sz w:val="22"/>
          <w:szCs w:val="22"/>
        </w:rPr>
        <w:t>Referente</w:t>
      </w:r>
      <w:proofErr w:type="gramEnd"/>
      <w:r w:rsidR="00534B33" w:rsidRPr="00264D82">
        <w:rPr>
          <w:rFonts w:ascii="Times New Roman" w:hAnsi="Times New Roman"/>
          <w:b/>
          <w:sz w:val="22"/>
          <w:szCs w:val="22"/>
        </w:rPr>
        <w:t xml:space="preserve"> ao Processo Administrativo – Definição do Organograma Geral do CAU/PR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A72676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</w:t>
      </w:r>
      <w:r w:rsidR="00534B33" w:rsidRPr="00264D82">
        <w:rPr>
          <w:rFonts w:ascii="Times New Roman" w:hAnsi="Times New Roman"/>
          <w:sz w:val="22"/>
          <w:szCs w:val="22"/>
        </w:rPr>
        <w:t xml:space="preserve"> folha 2/8 </w:t>
      </w:r>
      <w:r w:rsidRPr="00264D82">
        <w:rPr>
          <w:rFonts w:ascii="Times New Roman" w:hAnsi="Times New Roman"/>
          <w:sz w:val="22"/>
          <w:szCs w:val="22"/>
        </w:rPr>
        <w:t>do supracitado documento (</w:t>
      </w:r>
      <w:r w:rsidRPr="00264D82">
        <w:rPr>
          <w:rFonts w:ascii="Times New Roman" w:hAnsi="Times New Roman"/>
          <w:sz w:val="22"/>
          <w:szCs w:val="22"/>
        </w:rPr>
        <w:t>Processo Administrativo)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="00534B33" w:rsidRPr="00264D82">
        <w:rPr>
          <w:rFonts w:ascii="Times New Roman" w:hAnsi="Times New Roman"/>
          <w:sz w:val="22"/>
          <w:szCs w:val="22"/>
        </w:rPr>
        <w:t>informa:</w:t>
      </w:r>
    </w:p>
    <w:p w:rsidR="00534B33" w:rsidRPr="00264D82" w:rsidRDefault="00534B33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Assim, atendendo às determinações emanadas pelo Regimento do CAU/BR, a Presidência do CAU/PR determinou a análise da atual situação organizacional e do organograma existente no CAU/PR. Nesta ocasião, se constatou que o último organograma aprovado pela Plenária do CAU/PR data de 12 de dezembro de 2014 (Reunião Plenária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38), uma vez que as alterações apresentadas na Reunião Plenária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52 não foram objeto de aprovação e deliberação.</w:t>
      </w:r>
    </w:p>
    <w:p w:rsidR="00534B33" w:rsidRPr="00264D82" w:rsidRDefault="00534B33" w:rsidP="00A72676">
      <w:pPr>
        <w:spacing w:before="120" w:after="120"/>
        <w:ind w:left="1134"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Ocorre que em 12 de dezembro de 2014 (Reunião Plenária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38) o que foi aprovado “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>a mudança em relação à responsabilidade financeira</w:t>
      </w:r>
      <w:r w:rsidRPr="00264D82">
        <w:rPr>
          <w:rFonts w:ascii="Times New Roman" w:hAnsi="Times New Roman"/>
          <w:sz w:val="22"/>
          <w:szCs w:val="22"/>
        </w:rPr>
        <w:t>” e não o organograma como um todo, conforme segue:</w:t>
      </w:r>
    </w:p>
    <w:p w:rsidR="00534B33" w:rsidRPr="00264D82" w:rsidRDefault="00534B33" w:rsidP="00A72676">
      <w:pPr>
        <w:spacing w:before="120" w:after="120"/>
        <w:ind w:left="708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eastAsia="Cambria" w:hAnsi="Times New Roman"/>
          <w:sz w:val="22"/>
          <w:szCs w:val="22"/>
          <w:lang w:eastAsia="en-US"/>
        </w:rPr>
        <w:t>Presidente JEFERSON DANTAS NAVOLAR solicita a distribuição do novo Organograma do CAU/PR, que é apresentado aos Conselheiros (Anexo II) justificando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>ao Plenário a mudança em relação à responsabilidade financeira, uma vez que o CAU/PR entende que a Comissão de Finanças deve ter a responsabilidade de fazer a análise e questionamentos referentes aos pagamentos efetivados. Sobre o Artigo 75, exposto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pelo Conselheiro Titular LUIZ BECHER, o Presidente pondera que o CAU/PR institui um cargo, até então vago no 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lastRenderedPageBreak/>
        <w:t>Organograma do CAU/PR, que é o do Gerente Geral. Assim, coloca em votação as alterações apresentadas para o Regimento Interno do CAU/PR e o Organograma referente, que é aprovado por todos. (</w:t>
      </w:r>
      <w:proofErr w:type="gramStart"/>
      <w:r w:rsidRPr="00264D82">
        <w:rPr>
          <w:rFonts w:ascii="Times New Roman" w:eastAsia="Cambria" w:hAnsi="Times New Roman"/>
          <w:sz w:val="22"/>
          <w:szCs w:val="22"/>
          <w:lang w:eastAsia="en-US"/>
        </w:rPr>
        <w:t>linhas</w:t>
      </w:r>
      <w:proofErr w:type="gramEnd"/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143/151)</w:t>
      </w:r>
    </w:p>
    <w:p w:rsidR="00534B33" w:rsidRPr="00264D82" w:rsidRDefault="00534B33" w:rsidP="00A72676">
      <w:pPr>
        <w:spacing w:before="120" w:after="120"/>
        <w:ind w:left="1134"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Portanto, a informação apresentada</w:t>
      </w:r>
      <w:r w:rsidR="00A72676" w:rsidRPr="00264D82">
        <w:rPr>
          <w:rFonts w:ascii="Times New Roman" w:hAnsi="Times New Roman"/>
          <w:sz w:val="22"/>
          <w:szCs w:val="22"/>
        </w:rPr>
        <w:t xml:space="preserve"> </w:t>
      </w:r>
      <w:r w:rsidR="00A72676" w:rsidRPr="00264D82">
        <w:rPr>
          <w:rFonts w:ascii="Times New Roman" w:hAnsi="Times New Roman"/>
          <w:sz w:val="22"/>
          <w:szCs w:val="22"/>
        </w:rPr>
        <w:t>está equivocada</w:t>
      </w:r>
      <w:r w:rsidRPr="00264D82">
        <w:rPr>
          <w:rFonts w:ascii="Times New Roman" w:hAnsi="Times New Roman"/>
          <w:sz w:val="22"/>
          <w:szCs w:val="22"/>
        </w:rPr>
        <w:t>.</w:t>
      </w:r>
    </w:p>
    <w:p w:rsidR="00A72676" w:rsidRPr="00264D82" w:rsidRDefault="00A72676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Segue o referido “processo administrativo” informando:</w:t>
      </w:r>
    </w:p>
    <w:p w:rsidR="00534B33" w:rsidRPr="00264D82" w:rsidRDefault="00534B33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Para elaboração do estudo acerca do novo quadro organizacional desta autarquia,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se fez necessário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 instituição de um grupo interno de colaboradores</w:t>
      </w:r>
      <w:r w:rsidRPr="00264D82">
        <w:rPr>
          <w:rFonts w:ascii="Times New Roman" w:hAnsi="Times New Roman"/>
          <w:sz w:val="22"/>
          <w:szCs w:val="22"/>
        </w:rPr>
        <w:t>, com a finalidade de propor uma estrutura organizacional funcional, incluindo a departamentalização, criação, alteração e definição de cargos, lotação de empregados, relações internar entre setores, Conselho Diretor, Comissões e Plenário.</w:t>
      </w:r>
    </w:p>
    <w:p w:rsidR="00534B33" w:rsidRPr="00264D82" w:rsidRDefault="00534B33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  <w:u w:val="single"/>
        </w:rPr>
        <w:t>O Resultado deste estudo foi então apresentado</w:t>
      </w:r>
      <w:r w:rsidRPr="00264D82">
        <w:rPr>
          <w:rFonts w:ascii="Times New Roman" w:hAnsi="Times New Roman"/>
          <w:sz w:val="22"/>
          <w:szCs w:val="22"/>
        </w:rPr>
        <w:t xml:space="preserve"> em Reunião Extraordinária Conjunta da Comissão de Organização e Administração e da Comissão de Planejamento e Finanças do CAU/PR, nos dias 18 e 25 de fevereiro de 2018 que após discussão, acrescentou e sugeriu alterações. </w:t>
      </w:r>
      <w:r w:rsidR="00F32ED4" w:rsidRPr="00264D82">
        <w:rPr>
          <w:rFonts w:ascii="Times New Roman" w:hAnsi="Times New Roman"/>
          <w:sz w:val="22"/>
          <w:szCs w:val="22"/>
        </w:rPr>
        <w:t>[</w:t>
      </w:r>
      <w:proofErr w:type="gramStart"/>
      <w:r w:rsidR="00F32ED4" w:rsidRPr="00264D82">
        <w:rPr>
          <w:rFonts w:ascii="Times New Roman" w:hAnsi="Times New Roman"/>
          <w:sz w:val="22"/>
          <w:szCs w:val="22"/>
        </w:rPr>
        <w:t>grifo</w:t>
      </w:r>
      <w:proofErr w:type="gramEnd"/>
      <w:r w:rsidR="00F32ED4" w:rsidRPr="00264D82">
        <w:rPr>
          <w:rFonts w:ascii="Times New Roman" w:hAnsi="Times New Roman"/>
          <w:sz w:val="22"/>
          <w:szCs w:val="22"/>
        </w:rPr>
        <w:t xml:space="preserve"> do autor deste relatório]</w:t>
      </w:r>
    </w:p>
    <w:p w:rsidR="00534B33" w:rsidRPr="00264D82" w:rsidRDefault="00534B33" w:rsidP="00A72676">
      <w:pPr>
        <w:spacing w:before="120" w:after="120"/>
        <w:ind w:left="1134"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Destas apresentações fica</w:t>
      </w:r>
      <w:r w:rsidR="00A72676" w:rsidRPr="00264D82">
        <w:rPr>
          <w:rFonts w:ascii="Times New Roman" w:hAnsi="Times New Roman"/>
          <w:sz w:val="22"/>
          <w:szCs w:val="22"/>
        </w:rPr>
        <w:t>m claras</w:t>
      </w:r>
      <w:r w:rsidRPr="00264D82">
        <w:rPr>
          <w:rFonts w:ascii="Times New Roman" w:hAnsi="Times New Roman"/>
          <w:sz w:val="22"/>
          <w:szCs w:val="22"/>
        </w:rPr>
        <w:t xml:space="preserve"> mais irregularidade</w:t>
      </w:r>
      <w:r w:rsidR="00F32ED4" w:rsidRPr="00264D82">
        <w:rPr>
          <w:rFonts w:ascii="Times New Roman" w:hAnsi="Times New Roman"/>
          <w:sz w:val="22"/>
          <w:szCs w:val="22"/>
        </w:rPr>
        <w:t>s</w:t>
      </w:r>
      <w:r w:rsidRPr="00264D82">
        <w:rPr>
          <w:rFonts w:ascii="Times New Roman" w:hAnsi="Times New Roman"/>
          <w:sz w:val="22"/>
          <w:szCs w:val="22"/>
        </w:rPr>
        <w:t xml:space="preserve">, </w:t>
      </w:r>
      <w:r w:rsidR="00A72676" w:rsidRPr="00264D82">
        <w:rPr>
          <w:rFonts w:ascii="Times New Roman" w:hAnsi="Times New Roman"/>
          <w:sz w:val="22"/>
          <w:szCs w:val="22"/>
        </w:rPr>
        <w:t>quais sejam</w:t>
      </w:r>
      <w:r w:rsidRPr="00264D82">
        <w:rPr>
          <w:rFonts w:ascii="Times New Roman" w:hAnsi="Times New Roman"/>
          <w:sz w:val="22"/>
          <w:szCs w:val="22"/>
        </w:rPr>
        <w:t>:</w:t>
      </w:r>
    </w:p>
    <w:p w:rsidR="00A72676" w:rsidRPr="00264D82" w:rsidRDefault="00A72676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1) </w:t>
      </w:r>
      <w:r w:rsidR="00534B33" w:rsidRPr="00264D82">
        <w:rPr>
          <w:rFonts w:ascii="Times New Roman" w:hAnsi="Times New Roman"/>
          <w:sz w:val="22"/>
          <w:szCs w:val="22"/>
        </w:rPr>
        <w:t xml:space="preserve">não </w:t>
      </w:r>
      <w:r w:rsidR="00F32ED4" w:rsidRPr="00264D82">
        <w:rPr>
          <w:rFonts w:ascii="Times New Roman" w:hAnsi="Times New Roman"/>
          <w:sz w:val="22"/>
          <w:szCs w:val="22"/>
        </w:rPr>
        <w:t>houve</w:t>
      </w:r>
      <w:r w:rsidR="00534B33" w:rsidRPr="00264D82">
        <w:rPr>
          <w:rFonts w:ascii="Times New Roman" w:hAnsi="Times New Roman"/>
          <w:sz w:val="22"/>
          <w:szCs w:val="22"/>
        </w:rPr>
        <w:t xml:space="preserve"> reunião conjunta da COA e </w:t>
      </w:r>
      <w:proofErr w:type="spellStart"/>
      <w:r w:rsidR="00534B33" w:rsidRPr="00264D82">
        <w:rPr>
          <w:rFonts w:ascii="Times New Roman" w:hAnsi="Times New Roman"/>
          <w:sz w:val="22"/>
          <w:szCs w:val="22"/>
        </w:rPr>
        <w:t>CPFi</w:t>
      </w:r>
      <w:proofErr w:type="spellEnd"/>
      <w:r w:rsidR="00534B33" w:rsidRPr="00264D82">
        <w:rPr>
          <w:rFonts w:ascii="Times New Roman" w:hAnsi="Times New Roman"/>
          <w:sz w:val="22"/>
          <w:szCs w:val="22"/>
        </w:rPr>
        <w:t xml:space="preserve"> – CAU/PR em 18 e 25 de fevereiro de 2018</w:t>
      </w:r>
      <w:r w:rsidRPr="00264D82">
        <w:rPr>
          <w:rFonts w:ascii="Times New Roman" w:hAnsi="Times New Roman"/>
          <w:sz w:val="22"/>
          <w:szCs w:val="22"/>
        </w:rPr>
        <w:t>. L</w:t>
      </w:r>
      <w:r w:rsidR="00534B33" w:rsidRPr="00264D82">
        <w:rPr>
          <w:rFonts w:ascii="Times New Roman" w:hAnsi="Times New Roman"/>
          <w:sz w:val="22"/>
          <w:szCs w:val="22"/>
        </w:rPr>
        <w:t>endo</w:t>
      </w:r>
      <w:r w:rsidRPr="00264D82">
        <w:rPr>
          <w:rFonts w:ascii="Times New Roman" w:hAnsi="Times New Roman"/>
          <w:sz w:val="22"/>
          <w:szCs w:val="22"/>
        </w:rPr>
        <w:t>-se</w:t>
      </w:r>
      <w:r w:rsidR="00534B33" w:rsidRPr="00264D82">
        <w:rPr>
          <w:rFonts w:ascii="Times New Roman" w:hAnsi="Times New Roman"/>
          <w:sz w:val="22"/>
          <w:szCs w:val="22"/>
        </w:rPr>
        <w:t xml:space="preserve"> os anexos</w:t>
      </w:r>
      <w:r w:rsidRPr="00264D82">
        <w:rPr>
          <w:rFonts w:ascii="Times New Roman" w:hAnsi="Times New Roman"/>
          <w:sz w:val="22"/>
          <w:szCs w:val="22"/>
        </w:rPr>
        <w:t>,</w:t>
      </w:r>
      <w:r w:rsidR="00534B33" w:rsidRPr="00264D82">
        <w:rPr>
          <w:rFonts w:ascii="Times New Roman" w:hAnsi="Times New Roman"/>
          <w:sz w:val="22"/>
          <w:szCs w:val="22"/>
        </w:rPr>
        <w:t xml:space="preserve"> observa-se que está se referindo a 2019;</w:t>
      </w:r>
    </w:p>
    <w:p w:rsidR="00A72676" w:rsidRPr="00264D82" w:rsidRDefault="00A72676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A72676" w:rsidP="00A72676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2) </w:t>
      </w:r>
      <w:r w:rsidR="00534B33" w:rsidRPr="00264D82">
        <w:rPr>
          <w:rFonts w:ascii="Times New Roman" w:hAnsi="Times New Roman"/>
          <w:sz w:val="22"/>
          <w:szCs w:val="22"/>
        </w:rPr>
        <w:t>consta na Ata da Reunião de 18 de fevereiro de 201</w:t>
      </w:r>
      <w:r w:rsidR="00534B33" w:rsidRPr="00264D82">
        <w:rPr>
          <w:rFonts w:ascii="Times New Roman" w:hAnsi="Times New Roman"/>
          <w:b/>
          <w:sz w:val="22"/>
          <w:szCs w:val="22"/>
        </w:rPr>
        <w:t>9</w:t>
      </w:r>
      <w:r w:rsidR="00534B33" w:rsidRPr="00264D82">
        <w:rPr>
          <w:rFonts w:ascii="Times New Roman" w:hAnsi="Times New Roman"/>
          <w:sz w:val="22"/>
          <w:szCs w:val="22"/>
        </w:rPr>
        <w:t>:</w:t>
      </w:r>
    </w:p>
    <w:p w:rsidR="00534B33" w:rsidRPr="00264D82" w:rsidRDefault="00534B33" w:rsidP="00A72676">
      <w:pPr>
        <w:spacing w:before="120" w:after="120"/>
        <w:ind w:left="1134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..., a reunião iniciou com a apresentação do Organograma pela Gerente Geral explicando que a proposta do Organograma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é para regulamentar alguns cargos que não estavam no Organograma anterior</w:t>
      </w:r>
      <w:r w:rsidRPr="00264D82">
        <w:rPr>
          <w:rFonts w:ascii="Times New Roman" w:hAnsi="Times New Roman"/>
          <w:sz w:val="22"/>
          <w:szCs w:val="22"/>
        </w:rPr>
        <w:t xml:space="preserve">, ... explicou cada setor e os cargos que neles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constam os que estão ocupados e os vacantes</w:t>
      </w:r>
      <w:r w:rsidRPr="00264D82">
        <w:rPr>
          <w:rFonts w:ascii="Times New Roman" w:hAnsi="Times New Roman"/>
          <w:sz w:val="22"/>
          <w:szCs w:val="22"/>
        </w:rPr>
        <w:t xml:space="preserve"> ..., a necessidade de juntar Planejamento e Financeiro no mesmo setor evitando assim falta de informações de envolvidos (sic), ... a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Gerente Geral enfatizou que o Organograma é institucional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e não deve conter os salários</w:t>
      </w:r>
      <w:r w:rsidRPr="00264D82">
        <w:rPr>
          <w:rFonts w:ascii="Times New Roman" w:hAnsi="Times New Roman"/>
          <w:sz w:val="22"/>
          <w:szCs w:val="22"/>
        </w:rPr>
        <w:t xml:space="preserve">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o salário deve vir em separado</w:t>
      </w:r>
      <w:r w:rsidRPr="00264D82">
        <w:rPr>
          <w:rFonts w:ascii="Times New Roman" w:hAnsi="Times New Roman"/>
          <w:sz w:val="22"/>
          <w:szCs w:val="22"/>
        </w:rPr>
        <w:t xml:space="preserve">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em forma de Deliberação de Plenária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contendo cada cargo do Organograma, a descrição de atividades e o salário</w:t>
      </w:r>
      <w:r w:rsidRPr="00264D82">
        <w:rPr>
          <w:rFonts w:ascii="Times New Roman" w:hAnsi="Times New Roman"/>
          <w:sz w:val="22"/>
          <w:szCs w:val="22"/>
        </w:rPr>
        <w:t>, a proposta da construção do Organograma é ajustar os cargos que não constam no Organograma anterior e cancelar a Deliberação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81 (aprovada em reunião Plenária maio de 2018) que constam erros...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 proposta da construção do Organograma é tentar ajustar para não ultrapassar o limite de 50%</w:t>
      </w:r>
      <w:r w:rsidRPr="00264D82">
        <w:rPr>
          <w:rFonts w:ascii="Times New Roman" w:hAnsi="Times New Roman"/>
          <w:sz w:val="22"/>
          <w:szCs w:val="22"/>
        </w:rPr>
        <w:t xml:space="preserve"> (cinquenta por cento), da folha de pagamento prevista em lei, ...  </w:t>
      </w:r>
      <w:r w:rsidR="00F32ED4" w:rsidRPr="00264D82">
        <w:rPr>
          <w:rFonts w:ascii="Times New Roman" w:hAnsi="Times New Roman"/>
          <w:sz w:val="22"/>
          <w:szCs w:val="22"/>
        </w:rPr>
        <w:t>[</w:t>
      </w:r>
      <w:proofErr w:type="gramStart"/>
      <w:r w:rsidRPr="00264D82">
        <w:rPr>
          <w:rFonts w:ascii="Times New Roman" w:hAnsi="Times New Roman"/>
          <w:sz w:val="22"/>
          <w:szCs w:val="22"/>
        </w:rPr>
        <w:t>grif</w:t>
      </w:r>
      <w:r w:rsidR="00F32ED4" w:rsidRPr="00264D82">
        <w:rPr>
          <w:rFonts w:ascii="Times New Roman" w:hAnsi="Times New Roman"/>
          <w:sz w:val="22"/>
          <w:szCs w:val="22"/>
        </w:rPr>
        <w:t>o</w:t>
      </w:r>
      <w:proofErr w:type="gramEnd"/>
      <w:r w:rsidR="00F32ED4" w:rsidRPr="00264D82">
        <w:rPr>
          <w:rFonts w:ascii="Times New Roman" w:hAnsi="Times New Roman"/>
          <w:sz w:val="22"/>
          <w:szCs w:val="22"/>
        </w:rPr>
        <w:t xml:space="preserve"> do autor deste relatório]</w:t>
      </w:r>
    </w:p>
    <w:p w:rsidR="00A72676" w:rsidRPr="00264D82" w:rsidRDefault="00A72676" w:rsidP="00A72676">
      <w:pPr>
        <w:spacing w:before="120" w:after="120"/>
        <w:ind w:left="1134"/>
        <w:jc w:val="both"/>
        <w:rPr>
          <w:rFonts w:ascii="Times New Roman" w:hAnsi="Times New Roman"/>
          <w:sz w:val="22"/>
          <w:szCs w:val="22"/>
        </w:rPr>
      </w:pPr>
    </w:p>
    <w:p w:rsidR="00A72676" w:rsidRPr="00264D82" w:rsidRDefault="00A72676" w:rsidP="00A72676">
      <w:pPr>
        <w:spacing w:before="120" w:after="120"/>
        <w:ind w:left="1134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Ocorre que:</w:t>
      </w:r>
    </w:p>
    <w:p w:rsidR="00534B33" w:rsidRPr="00264D82" w:rsidRDefault="00534B33" w:rsidP="00A72676">
      <w:pPr>
        <w:numPr>
          <w:ilvl w:val="2"/>
          <w:numId w:val="4"/>
        </w:numPr>
        <w:spacing w:before="120" w:after="120"/>
        <w:ind w:left="1315" w:hanging="18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Organograma é de competência da COA</w:t>
      </w:r>
      <w:r w:rsidR="00A72676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e não de grupo de interessados funcionalmente e apresentado pronto à COA;</w:t>
      </w:r>
    </w:p>
    <w:p w:rsidR="00534B33" w:rsidRPr="00264D82" w:rsidRDefault="00534B33" w:rsidP="00A72676">
      <w:pPr>
        <w:numPr>
          <w:ilvl w:val="2"/>
          <w:numId w:val="4"/>
        </w:numPr>
        <w:spacing w:before="120" w:after="120"/>
        <w:ind w:left="1315" w:hanging="181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4D82">
        <w:rPr>
          <w:rFonts w:ascii="Times New Roman" w:hAnsi="Times New Roman"/>
          <w:sz w:val="22"/>
          <w:szCs w:val="22"/>
        </w:rPr>
        <w:t>o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Organograma, na nova configuração dada pela Resolução CAU/PR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139, depois de aprovado, dará direito a nomeações aos cargos, e não o contrário. Nomeações para cargos não existentes são ilegais, e não podem ser legalizados por aprovação posterior;</w:t>
      </w:r>
    </w:p>
    <w:p w:rsidR="00534B33" w:rsidRPr="00264D82" w:rsidRDefault="00534B33" w:rsidP="00A72676">
      <w:pPr>
        <w:numPr>
          <w:ilvl w:val="2"/>
          <w:numId w:val="4"/>
        </w:numPr>
        <w:spacing w:before="120" w:after="120"/>
        <w:ind w:left="1315" w:hanging="181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4D82">
        <w:rPr>
          <w:rFonts w:ascii="Times New Roman" w:hAnsi="Times New Roman"/>
          <w:sz w:val="22"/>
          <w:szCs w:val="22"/>
        </w:rPr>
        <w:t>a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própria Gerente Geral enfatizou que o “</w:t>
      </w:r>
      <w:r w:rsidRPr="00264D82">
        <w:rPr>
          <w:rFonts w:ascii="Times New Roman" w:hAnsi="Times New Roman"/>
          <w:i/>
          <w:sz w:val="22"/>
          <w:szCs w:val="22"/>
        </w:rPr>
        <w:t>organograma é institucional, e não deve conter os salários, o salário deve vir em separado</w:t>
      </w:r>
      <w:r w:rsidRPr="00264D82">
        <w:rPr>
          <w:rFonts w:ascii="Times New Roman" w:hAnsi="Times New Roman"/>
          <w:sz w:val="22"/>
          <w:szCs w:val="22"/>
        </w:rPr>
        <w:t xml:space="preserve">”, porém, não é o que ocorre no </w:t>
      </w:r>
      <w:r w:rsidRPr="00264D82">
        <w:rPr>
          <w:rFonts w:ascii="Times New Roman" w:hAnsi="Times New Roman"/>
          <w:sz w:val="22"/>
          <w:szCs w:val="22"/>
        </w:rPr>
        <w:lastRenderedPageBreak/>
        <w:t>caso concreto, visto que na Minuta de Deliberação aparece “Deliberar por aprovar o acréscimo ao Anexo I... com a remuneração de R$...”, como será apresentado a frente; e</w:t>
      </w:r>
    </w:p>
    <w:p w:rsidR="00534B33" w:rsidRPr="00264D82" w:rsidRDefault="00534B33" w:rsidP="00A72676">
      <w:pPr>
        <w:numPr>
          <w:ilvl w:val="2"/>
          <w:numId w:val="4"/>
        </w:numPr>
        <w:spacing w:before="120" w:after="120"/>
        <w:ind w:left="1315" w:hanging="18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ORGANOGRAMA </w:t>
      </w:r>
      <w:r w:rsidR="00F32ED4" w:rsidRPr="00264D82">
        <w:rPr>
          <w:rFonts w:ascii="Times New Roman" w:hAnsi="Times New Roman"/>
          <w:sz w:val="22"/>
          <w:szCs w:val="22"/>
        </w:rPr>
        <w:t>serve</w:t>
      </w:r>
      <w:r w:rsidRPr="00264D82">
        <w:rPr>
          <w:rFonts w:ascii="Times New Roman" w:hAnsi="Times New Roman"/>
          <w:sz w:val="22"/>
          <w:szCs w:val="22"/>
        </w:rPr>
        <w:t xml:space="preserve"> para demonstrar cargos e hierarquias</w:t>
      </w:r>
      <w:r w:rsidR="00F32ED4" w:rsidRPr="00264D82">
        <w:rPr>
          <w:rFonts w:ascii="Times New Roman" w:hAnsi="Times New Roman"/>
          <w:sz w:val="22"/>
          <w:szCs w:val="22"/>
        </w:rPr>
        <w:t>; organograma</w:t>
      </w:r>
      <w:r w:rsidRPr="00264D82">
        <w:rPr>
          <w:rFonts w:ascii="Times New Roman" w:hAnsi="Times New Roman"/>
          <w:sz w:val="22"/>
          <w:szCs w:val="22"/>
        </w:rPr>
        <w:t xml:space="preserve"> não envolve fixação de salários</w:t>
      </w:r>
      <w:r w:rsidR="00F32ED4" w:rsidRPr="00264D82">
        <w:rPr>
          <w:rFonts w:ascii="Times New Roman" w:hAnsi="Times New Roman"/>
          <w:sz w:val="22"/>
          <w:szCs w:val="22"/>
        </w:rPr>
        <w:t>. P</w:t>
      </w:r>
      <w:r w:rsidRPr="00264D82">
        <w:rPr>
          <w:rFonts w:ascii="Times New Roman" w:hAnsi="Times New Roman"/>
          <w:sz w:val="22"/>
          <w:szCs w:val="22"/>
        </w:rPr>
        <w:t xml:space="preserve">ortanto, equivocam-se quando </w:t>
      </w:r>
      <w:r w:rsidR="00F32ED4" w:rsidRPr="00264D82">
        <w:rPr>
          <w:rFonts w:ascii="Times New Roman" w:hAnsi="Times New Roman"/>
          <w:sz w:val="22"/>
          <w:szCs w:val="22"/>
        </w:rPr>
        <w:t>escrevem</w:t>
      </w:r>
      <w:r w:rsidRPr="00264D82">
        <w:rPr>
          <w:rFonts w:ascii="Times New Roman" w:hAnsi="Times New Roman"/>
          <w:sz w:val="22"/>
          <w:szCs w:val="22"/>
        </w:rPr>
        <w:t xml:space="preserve"> que “</w:t>
      </w:r>
      <w:r w:rsidRPr="00264D82">
        <w:rPr>
          <w:rFonts w:ascii="Times New Roman" w:hAnsi="Times New Roman"/>
          <w:i/>
          <w:sz w:val="22"/>
          <w:szCs w:val="22"/>
        </w:rPr>
        <w:t>A proposta da construção do Organograma é tentar ajustar para não ultrapassar o limite de 50%, da folha de pagamento prevista em lei</w:t>
      </w:r>
      <w:r w:rsidRPr="00264D82">
        <w:rPr>
          <w:rFonts w:ascii="Times New Roman" w:hAnsi="Times New Roman"/>
          <w:sz w:val="22"/>
          <w:szCs w:val="22"/>
        </w:rPr>
        <w:t>”. O organograma deve conter a estrutura “ideal” para funcionamento</w:t>
      </w:r>
      <w:r w:rsidR="00F32ED4" w:rsidRPr="00264D82">
        <w:rPr>
          <w:rFonts w:ascii="Times New Roman" w:hAnsi="Times New Roman"/>
          <w:sz w:val="22"/>
          <w:szCs w:val="22"/>
        </w:rPr>
        <w:t>. M</w:t>
      </w:r>
      <w:r w:rsidRPr="00264D82">
        <w:rPr>
          <w:rFonts w:ascii="Times New Roman" w:hAnsi="Times New Roman"/>
          <w:sz w:val="22"/>
          <w:szCs w:val="22"/>
        </w:rPr>
        <w:t>as a indicação para ocupação dos cargos é que deve se preocupar com os gastos,</w:t>
      </w:r>
      <w:r w:rsidR="00F32ED4" w:rsidRPr="00264D82">
        <w:rPr>
          <w:rFonts w:ascii="Times New Roman" w:hAnsi="Times New Roman"/>
          <w:sz w:val="22"/>
          <w:szCs w:val="22"/>
        </w:rPr>
        <w:t xml:space="preserve"> com</w:t>
      </w:r>
      <w:r w:rsidRPr="00264D82">
        <w:rPr>
          <w:rFonts w:ascii="Times New Roman" w:hAnsi="Times New Roman"/>
          <w:sz w:val="22"/>
          <w:szCs w:val="22"/>
        </w:rPr>
        <w:t xml:space="preserve"> o limite de gastos</w:t>
      </w:r>
      <w:r w:rsidR="00F32ED4" w:rsidRPr="00264D82">
        <w:rPr>
          <w:rFonts w:ascii="Times New Roman" w:hAnsi="Times New Roman"/>
          <w:sz w:val="22"/>
          <w:szCs w:val="22"/>
        </w:rPr>
        <w:t>. N</w:t>
      </w:r>
      <w:r w:rsidRPr="00264D82">
        <w:rPr>
          <w:rFonts w:ascii="Times New Roman" w:hAnsi="Times New Roman"/>
          <w:sz w:val="22"/>
          <w:szCs w:val="22"/>
        </w:rPr>
        <w:t>ão é porque está previsto que deve</w:t>
      </w:r>
      <w:r w:rsidR="00F32ED4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necessariamente</w:t>
      </w:r>
      <w:r w:rsidR="00F32ED4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ser ocupado.</w:t>
      </w:r>
    </w:p>
    <w:p w:rsidR="00534B33" w:rsidRPr="00264D82" w:rsidRDefault="00534B33" w:rsidP="00A72676">
      <w:pPr>
        <w:spacing w:before="120" w:after="120"/>
        <w:ind w:left="1315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C52C2E" w:rsidP="00C52C2E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C</w:t>
      </w:r>
      <w:r w:rsidR="00534B33" w:rsidRPr="00264D82">
        <w:rPr>
          <w:rFonts w:ascii="Times New Roman" w:hAnsi="Times New Roman"/>
          <w:sz w:val="22"/>
          <w:szCs w:val="22"/>
        </w:rPr>
        <w:t>onsta na Ata da Reunião de 25 de fevereiro de 2019:</w:t>
      </w:r>
    </w:p>
    <w:p w:rsidR="00534B33" w:rsidRPr="00264D82" w:rsidRDefault="00C52C2E" w:rsidP="00C52C2E">
      <w:pPr>
        <w:spacing w:before="120" w:after="12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“</w:t>
      </w:r>
      <w:r w:rsidR="00534B33" w:rsidRPr="00264D82">
        <w:rPr>
          <w:rFonts w:ascii="Times New Roman" w:hAnsi="Times New Roman"/>
          <w:sz w:val="22"/>
          <w:szCs w:val="22"/>
        </w:rPr>
        <w:t xml:space="preserve">..., a </w:t>
      </w:r>
      <w:proofErr w:type="spellStart"/>
      <w:r w:rsidR="00534B33" w:rsidRPr="00264D82">
        <w:rPr>
          <w:rFonts w:ascii="Times New Roman" w:hAnsi="Times New Roman"/>
          <w:b/>
          <w:sz w:val="22"/>
          <w:szCs w:val="22"/>
          <w:u w:val="single"/>
        </w:rPr>
        <w:t>idéia</w:t>
      </w:r>
      <w:proofErr w:type="spellEnd"/>
      <w:r w:rsidR="00534B33" w:rsidRPr="00264D82">
        <w:rPr>
          <w:rFonts w:ascii="Times New Roman" w:hAnsi="Times New Roman"/>
          <w:b/>
          <w:sz w:val="22"/>
          <w:szCs w:val="22"/>
          <w:u w:val="single"/>
        </w:rPr>
        <w:t xml:space="preserve"> é ajustar os salários </w:t>
      </w:r>
      <w:r w:rsidR="00534B33" w:rsidRPr="00264D82">
        <w:rPr>
          <w:rFonts w:ascii="Times New Roman" w:hAnsi="Times New Roman"/>
          <w:sz w:val="22"/>
          <w:szCs w:val="22"/>
        </w:rPr>
        <w:t xml:space="preserve">que estão </w:t>
      </w:r>
      <w:r w:rsidR="00534B33" w:rsidRPr="00264D82">
        <w:rPr>
          <w:rFonts w:ascii="Times New Roman" w:hAnsi="Times New Roman"/>
          <w:b/>
          <w:sz w:val="22"/>
          <w:szCs w:val="22"/>
          <w:u w:val="single"/>
        </w:rPr>
        <w:t>defasados em relação a outros CAU/UF</w:t>
      </w:r>
      <w:r w:rsidRPr="00264D82">
        <w:rPr>
          <w:rFonts w:ascii="Times New Roman" w:hAnsi="Times New Roman"/>
          <w:sz w:val="22"/>
          <w:szCs w:val="22"/>
        </w:rPr>
        <w:t xml:space="preserve">” </w:t>
      </w:r>
    </w:p>
    <w:p w:rsidR="00C52C2E" w:rsidRPr="00264D82" w:rsidRDefault="00C52C2E" w:rsidP="00C52C2E">
      <w:pPr>
        <w:spacing w:before="120" w:after="120"/>
        <w:ind w:left="708" w:firstLine="708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C52C2E" w:rsidP="00C52C2E">
      <w:pPr>
        <w:spacing w:before="120" w:after="120"/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Ocorre que os</w:t>
      </w:r>
      <w:r w:rsidR="00534B33" w:rsidRPr="00264D82">
        <w:rPr>
          <w:rFonts w:ascii="Times New Roman" w:hAnsi="Times New Roman"/>
          <w:sz w:val="22"/>
          <w:szCs w:val="22"/>
        </w:rPr>
        <w:t xml:space="preserve"> salários do CAU/PR não t</w:t>
      </w:r>
      <w:r w:rsidRPr="00264D82">
        <w:rPr>
          <w:rFonts w:ascii="Times New Roman" w:hAnsi="Times New Roman"/>
          <w:sz w:val="22"/>
          <w:szCs w:val="22"/>
        </w:rPr>
        <w:t>ê</w:t>
      </w:r>
      <w:r w:rsidR="00534B33" w:rsidRPr="00264D82">
        <w:rPr>
          <w:rFonts w:ascii="Times New Roman" w:hAnsi="Times New Roman"/>
          <w:sz w:val="22"/>
          <w:szCs w:val="22"/>
        </w:rPr>
        <w:t>m que ser reajustados face estar ou não defasados a outros CAU/</w:t>
      </w:r>
      <w:proofErr w:type="spellStart"/>
      <w:r w:rsidR="00534B33" w:rsidRPr="00264D82">
        <w:rPr>
          <w:rFonts w:ascii="Times New Roman" w:hAnsi="Times New Roman"/>
          <w:sz w:val="22"/>
          <w:szCs w:val="22"/>
        </w:rPr>
        <w:t>UF’s</w:t>
      </w:r>
      <w:proofErr w:type="spellEnd"/>
      <w:r w:rsidR="00534B33" w:rsidRPr="00264D82">
        <w:rPr>
          <w:rFonts w:ascii="Times New Roman" w:hAnsi="Times New Roman"/>
          <w:sz w:val="22"/>
          <w:szCs w:val="22"/>
        </w:rPr>
        <w:t>.</w:t>
      </w:r>
    </w:p>
    <w:p w:rsidR="00534B33" w:rsidRPr="00264D82" w:rsidRDefault="00534B33" w:rsidP="00C52C2E">
      <w:pPr>
        <w:spacing w:before="120" w:after="120"/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Há </w:t>
      </w:r>
      <w:proofErr w:type="spellStart"/>
      <w:r w:rsidRPr="00264D82">
        <w:rPr>
          <w:rFonts w:ascii="Times New Roman" w:hAnsi="Times New Roman"/>
          <w:sz w:val="22"/>
          <w:szCs w:val="22"/>
        </w:rPr>
        <w:t>CAU’s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 que pagam mais</w:t>
      </w:r>
      <w:r w:rsidR="00F32ED4" w:rsidRPr="00264D82">
        <w:rPr>
          <w:rFonts w:ascii="Times New Roman" w:hAnsi="Times New Roman"/>
          <w:sz w:val="22"/>
          <w:szCs w:val="22"/>
        </w:rPr>
        <w:t>. P</w:t>
      </w:r>
      <w:r w:rsidRPr="00264D82">
        <w:rPr>
          <w:rFonts w:ascii="Times New Roman" w:hAnsi="Times New Roman"/>
          <w:sz w:val="22"/>
          <w:szCs w:val="22"/>
        </w:rPr>
        <w:t xml:space="preserve">orém, há </w:t>
      </w:r>
      <w:proofErr w:type="spellStart"/>
      <w:r w:rsidRPr="00264D82">
        <w:rPr>
          <w:rFonts w:ascii="Times New Roman" w:hAnsi="Times New Roman"/>
          <w:sz w:val="22"/>
          <w:szCs w:val="22"/>
        </w:rPr>
        <w:t>CAU’s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 que pagam menos, </w:t>
      </w:r>
      <w:r w:rsidR="00F32ED4" w:rsidRPr="00264D82">
        <w:rPr>
          <w:rFonts w:ascii="Times New Roman" w:hAnsi="Times New Roman"/>
          <w:sz w:val="22"/>
          <w:szCs w:val="22"/>
        </w:rPr>
        <w:t xml:space="preserve">e esses </w:t>
      </w:r>
      <w:r w:rsidRPr="00264D82">
        <w:rPr>
          <w:rFonts w:ascii="Times New Roman" w:hAnsi="Times New Roman"/>
          <w:sz w:val="22"/>
          <w:szCs w:val="22"/>
        </w:rPr>
        <w:t>são a maioria. Os salários pagos são os propostos em concursos</w:t>
      </w:r>
      <w:r w:rsidR="00F32ED4" w:rsidRPr="00264D82">
        <w:rPr>
          <w:rFonts w:ascii="Times New Roman" w:hAnsi="Times New Roman"/>
          <w:sz w:val="22"/>
          <w:szCs w:val="22"/>
        </w:rPr>
        <w:t>. Q</w:t>
      </w:r>
      <w:r w:rsidRPr="00264D82">
        <w:rPr>
          <w:rFonts w:ascii="Times New Roman" w:hAnsi="Times New Roman"/>
          <w:sz w:val="22"/>
          <w:szCs w:val="22"/>
        </w:rPr>
        <w:t>uem fez o concurso aceitou o valor apresentado</w:t>
      </w:r>
      <w:r w:rsidR="00F32ED4" w:rsidRPr="00264D82">
        <w:rPr>
          <w:rFonts w:ascii="Times New Roman" w:hAnsi="Times New Roman"/>
          <w:sz w:val="22"/>
          <w:szCs w:val="22"/>
        </w:rPr>
        <w:t>. P</w:t>
      </w:r>
      <w:r w:rsidRPr="00264D82">
        <w:rPr>
          <w:rFonts w:ascii="Times New Roman" w:hAnsi="Times New Roman"/>
          <w:sz w:val="22"/>
          <w:szCs w:val="22"/>
        </w:rPr>
        <w:t>ortanto, não há que se alterar es</w:t>
      </w:r>
      <w:r w:rsidR="00C52C2E" w:rsidRPr="00264D82">
        <w:rPr>
          <w:rFonts w:ascii="Times New Roman" w:hAnsi="Times New Roman"/>
          <w:sz w:val="22"/>
          <w:szCs w:val="22"/>
        </w:rPr>
        <w:t>s</w:t>
      </w:r>
      <w:r w:rsidRPr="00264D82">
        <w:rPr>
          <w:rFonts w:ascii="Times New Roman" w:hAnsi="Times New Roman"/>
          <w:sz w:val="22"/>
          <w:szCs w:val="22"/>
        </w:rPr>
        <w:t>es valores, sob a bandeira de “ajustar os salários que estão defasados em relação a outros CAU/UF”. Os concursos foram individualizados, as propostas e salários também.</w:t>
      </w:r>
    </w:p>
    <w:p w:rsidR="00534B33" w:rsidRPr="00264D82" w:rsidRDefault="00534B33" w:rsidP="00C52C2E">
      <w:pPr>
        <w:spacing w:before="120" w:after="120"/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Portanto, nes</w:t>
      </w:r>
      <w:r w:rsidR="00F32ED4" w:rsidRPr="00264D82">
        <w:rPr>
          <w:rFonts w:ascii="Times New Roman" w:hAnsi="Times New Roman"/>
          <w:sz w:val="22"/>
          <w:szCs w:val="22"/>
        </w:rPr>
        <w:t>s</w:t>
      </w:r>
      <w:r w:rsidRPr="00264D82">
        <w:rPr>
          <w:rFonts w:ascii="Times New Roman" w:hAnsi="Times New Roman"/>
          <w:sz w:val="22"/>
          <w:szCs w:val="22"/>
        </w:rPr>
        <w:t xml:space="preserve">as apresentações </w:t>
      </w:r>
      <w:r w:rsidR="00F32ED4" w:rsidRPr="00264D82">
        <w:rPr>
          <w:rFonts w:ascii="Times New Roman" w:hAnsi="Times New Roman"/>
          <w:sz w:val="22"/>
          <w:szCs w:val="22"/>
        </w:rPr>
        <w:t>à</w:t>
      </w:r>
      <w:r w:rsidRPr="00264D82">
        <w:rPr>
          <w:rFonts w:ascii="Times New Roman" w:hAnsi="Times New Roman"/>
          <w:sz w:val="22"/>
          <w:szCs w:val="22"/>
        </w:rPr>
        <w:t xml:space="preserve">s comissões COA e </w:t>
      </w:r>
      <w:proofErr w:type="spellStart"/>
      <w:r w:rsidRPr="00264D82">
        <w:rPr>
          <w:rFonts w:ascii="Times New Roman" w:hAnsi="Times New Roman"/>
          <w:sz w:val="22"/>
          <w:szCs w:val="22"/>
        </w:rPr>
        <w:t>CPFi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 – CAU/PR</w:t>
      </w:r>
      <w:r w:rsidR="00C52C2E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observa-se erro ou indução a erro por parte dos funcionários que apresentaram a proposta do CAU/PR aos conselheiros.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C52C2E" w:rsidP="00C52C2E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4) </w:t>
      </w:r>
      <w:r w:rsidR="00534B33" w:rsidRPr="00264D82">
        <w:rPr>
          <w:rFonts w:ascii="Times New Roman" w:hAnsi="Times New Roman"/>
          <w:sz w:val="22"/>
          <w:szCs w:val="22"/>
        </w:rPr>
        <w:t>há VICIO DE ORIGEM</w:t>
      </w:r>
      <w:r w:rsidRPr="00264D82">
        <w:rPr>
          <w:rFonts w:ascii="Times New Roman" w:hAnsi="Times New Roman"/>
          <w:sz w:val="22"/>
          <w:szCs w:val="22"/>
        </w:rPr>
        <w:t xml:space="preserve"> na proposta.</w:t>
      </w:r>
      <w:r w:rsidR="00534B33"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sz w:val="22"/>
          <w:szCs w:val="22"/>
        </w:rPr>
        <w:t>O</w:t>
      </w:r>
      <w:r w:rsidR="00534B33" w:rsidRPr="00264D82">
        <w:rPr>
          <w:rFonts w:ascii="Times New Roman" w:hAnsi="Times New Roman"/>
          <w:sz w:val="22"/>
          <w:szCs w:val="22"/>
        </w:rPr>
        <w:t xml:space="preserve"> Regimento Interno do CAU/PR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sz w:val="22"/>
          <w:szCs w:val="22"/>
        </w:rPr>
        <w:t>é claro e cristalino</w:t>
      </w:r>
      <w:r w:rsidRPr="00264D82">
        <w:rPr>
          <w:rFonts w:ascii="Times New Roman" w:hAnsi="Times New Roman"/>
          <w:sz w:val="22"/>
          <w:szCs w:val="22"/>
        </w:rPr>
        <w:t xml:space="preserve"> a respeito d</w:t>
      </w:r>
      <w:r w:rsidR="00534B33" w:rsidRPr="00264D82">
        <w:rPr>
          <w:rFonts w:ascii="Times New Roman" w:hAnsi="Times New Roman"/>
          <w:sz w:val="22"/>
          <w:szCs w:val="22"/>
        </w:rPr>
        <w:t>a competência da COA-CAU/PR:</w:t>
      </w:r>
    </w:p>
    <w:p w:rsidR="00534B33" w:rsidRPr="00264D82" w:rsidRDefault="00534B33" w:rsidP="00A72676">
      <w:pPr>
        <w:tabs>
          <w:tab w:val="left" w:pos="567"/>
        </w:tabs>
        <w:suppressAutoHyphens w:val="0"/>
        <w:autoSpaceDE w:val="0"/>
        <w:autoSpaceDN w:val="0"/>
        <w:adjustRightInd w:val="0"/>
        <w:ind w:left="2041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 xml:space="preserve">I- </w:t>
      </w:r>
      <w:proofErr w:type="gramStart"/>
      <w:r w:rsidRPr="00264D82">
        <w:rPr>
          <w:rFonts w:ascii="Times New Roman" w:hAnsi="Times New Roman"/>
          <w:b/>
          <w:sz w:val="22"/>
          <w:szCs w:val="22"/>
          <w:u w:val="single"/>
        </w:rPr>
        <w:t>propor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, apreciar e deliberar sobre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atos normativos relativos à gestão da estratégia organizacional</w:t>
      </w:r>
      <w:r w:rsidRPr="00264D82">
        <w:rPr>
          <w:rFonts w:ascii="Times New Roman" w:hAnsi="Times New Roman"/>
          <w:sz w:val="22"/>
          <w:szCs w:val="22"/>
        </w:rPr>
        <w:t xml:space="preserve">, referente a atendimento, funcionamento, patrimônio e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administração do CAU/PR</w:t>
      </w:r>
      <w:r w:rsidRPr="00264D82">
        <w:rPr>
          <w:rFonts w:ascii="Times New Roman" w:hAnsi="Times New Roman"/>
          <w:sz w:val="22"/>
          <w:szCs w:val="22"/>
        </w:rPr>
        <w:t>;</w:t>
      </w:r>
    </w:p>
    <w:p w:rsidR="00534B33" w:rsidRPr="00264D82" w:rsidRDefault="00534B33" w:rsidP="00A72676">
      <w:pPr>
        <w:tabs>
          <w:tab w:val="left" w:pos="567"/>
        </w:tabs>
        <w:suppressAutoHyphens w:val="0"/>
        <w:autoSpaceDE w:val="0"/>
        <w:autoSpaceDN w:val="0"/>
        <w:adjustRightInd w:val="0"/>
        <w:ind w:left="2041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 xml:space="preserve">II- </w:t>
      </w:r>
      <w:proofErr w:type="gramStart"/>
      <w:r w:rsidRPr="00264D82">
        <w:rPr>
          <w:rFonts w:ascii="Times New Roman" w:hAnsi="Times New Roman"/>
          <w:b/>
          <w:sz w:val="22"/>
          <w:szCs w:val="22"/>
          <w:u w:val="single"/>
        </w:rPr>
        <w:t>propor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, apreciar e deliberar sobre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atos administrativos voltados à reestruturação organizacional do CAU/PR</w:t>
      </w:r>
      <w:r w:rsidRPr="00264D82">
        <w:rPr>
          <w:rFonts w:ascii="Times New Roman" w:hAnsi="Times New Roman"/>
          <w:sz w:val="22"/>
          <w:szCs w:val="22"/>
        </w:rPr>
        <w:t>;</w:t>
      </w:r>
    </w:p>
    <w:p w:rsidR="00534B33" w:rsidRPr="00264D82" w:rsidRDefault="00534B33" w:rsidP="00A72676">
      <w:pPr>
        <w:tabs>
          <w:tab w:val="left" w:pos="567"/>
        </w:tabs>
        <w:suppressAutoHyphens w:val="0"/>
        <w:autoSpaceDE w:val="0"/>
        <w:autoSpaceDN w:val="0"/>
        <w:adjustRightInd w:val="0"/>
        <w:ind w:left="204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 xml:space="preserve">V- </w:t>
      </w:r>
      <w:proofErr w:type="gramStart"/>
      <w:r w:rsidRPr="00264D82">
        <w:rPr>
          <w:rFonts w:ascii="Times New Roman" w:hAnsi="Times New Roman"/>
          <w:b/>
          <w:sz w:val="22"/>
          <w:szCs w:val="22"/>
          <w:u w:val="single"/>
        </w:rPr>
        <w:t>propor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, apreciar e deliberar sobre o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Regimento Interno do CAU/PR e suas alterações</w:t>
      </w:r>
      <w:r w:rsidRPr="00264D82">
        <w:rPr>
          <w:rFonts w:ascii="Times New Roman" w:hAnsi="Times New Roman"/>
          <w:sz w:val="22"/>
          <w:szCs w:val="22"/>
        </w:rPr>
        <w:t xml:space="preserve">; </w:t>
      </w:r>
      <w:r w:rsidR="00F32ED4" w:rsidRPr="00264D82">
        <w:rPr>
          <w:rFonts w:ascii="Times New Roman" w:hAnsi="Times New Roman"/>
          <w:sz w:val="22"/>
          <w:szCs w:val="22"/>
        </w:rPr>
        <w:t>[grifo do autor deste relatório]</w:t>
      </w:r>
    </w:p>
    <w:p w:rsidR="00534B33" w:rsidRPr="00264D82" w:rsidRDefault="00534B33" w:rsidP="00A72676">
      <w:pPr>
        <w:tabs>
          <w:tab w:val="left" w:pos="567"/>
        </w:tabs>
        <w:suppressAutoHyphens w:val="0"/>
        <w:autoSpaceDE w:val="0"/>
        <w:autoSpaceDN w:val="0"/>
        <w:adjustRightInd w:val="0"/>
        <w:ind w:left="1701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C52C2E" w:rsidRPr="00264D82" w:rsidRDefault="00C52C2E" w:rsidP="00C52C2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Portanto, a</w:t>
      </w:r>
      <w:r w:rsidRPr="00264D82">
        <w:rPr>
          <w:rFonts w:ascii="Times New Roman" w:hAnsi="Times New Roman"/>
          <w:sz w:val="22"/>
          <w:szCs w:val="22"/>
        </w:rPr>
        <w:t xml:space="preserve"> falta de definição precisa do escopo do organograma, o equívoco na ideia de ajustar salários supostamente defasados, o vício de origem e o erro de data já seriam motivos suficientes para o não andamento da forma apresentada no Organograma.</w:t>
      </w:r>
    </w:p>
    <w:p w:rsidR="00F32ED4" w:rsidRPr="00264D82" w:rsidRDefault="00F32ED4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32ED4" w:rsidRPr="00264D82" w:rsidRDefault="00F32ED4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F32ED4" w:rsidP="00D94E54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 xml:space="preserve">Parte 2) </w:t>
      </w:r>
      <w:r w:rsidR="00534B33" w:rsidRPr="00264D82">
        <w:rPr>
          <w:rFonts w:ascii="Times New Roman" w:hAnsi="Times New Roman"/>
          <w:b/>
          <w:sz w:val="22"/>
          <w:szCs w:val="22"/>
        </w:rPr>
        <w:t>Referente à “MINUTA DE DELIBERAÇÃO PLENÁRIO e ANEXOS”</w:t>
      </w:r>
    </w:p>
    <w:p w:rsidR="00D94E54" w:rsidRPr="00264D82" w:rsidRDefault="00D94E54" w:rsidP="00D94E5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C52C2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Na Pauta, para a 92</w:t>
      </w:r>
      <w:r w:rsidRPr="00264D82">
        <w:rPr>
          <w:rFonts w:ascii="Times New Roman" w:hAnsi="Times New Roman"/>
          <w:sz w:val="22"/>
          <w:szCs w:val="22"/>
          <w:vertAlign w:val="superscript"/>
        </w:rPr>
        <w:t>a</w:t>
      </w:r>
      <w:r w:rsidRPr="00264D82">
        <w:rPr>
          <w:rFonts w:ascii="Times New Roman" w:hAnsi="Times New Roman"/>
          <w:sz w:val="22"/>
          <w:szCs w:val="22"/>
        </w:rPr>
        <w:t xml:space="preserve"> Reunião Plenária Ordinária do CAU/PR, enviada aos Conselheiros constava:</w:t>
      </w:r>
    </w:p>
    <w:p w:rsidR="00534B33" w:rsidRPr="00264D82" w:rsidRDefault="00534B33" w:rsidP="00D94E54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1. Projeto de Deliberação Plenária que aprova o Organograma do CAU/PR (Origem </w:t>
      </w:r>
      <w:r w:rsidRPr="00264D82">
        <w:rPr>
          <w:rFonts w:ascii="Times New Roman" w:hAnsi="Times New Roman"/>
          <w:sz w:val="22"/>
          <w:szCs w:val="22"/>
        </w:rPr>
        <w:lastRenderedPageBreak/>
        <w:t>COA/</w:t>
      </w:r>
      <w:proofErr w:type="spellStart"/>
      <w:r w:rsidRPr="00264D82">
        <w:rPr>
          <w:rFonts w:ascii="Times New Roman" w:hAnsi="Times New Roman"/>
          <w:sz w:val="22"/>
          <w:szCs w:val="22"/>
        </w:rPr>
        <w:t>CPFi</w:t>
      </w:r>
      <w:proofErr w:type="spellEnd"/>
      <w:r w:rsidRPr="00264D82">
        <w:rPr>
          <w:rFonts w:ascii="Times New Roman" w:hAnsi="Times New Roman"/>
          <w:sz w:val="22"/>
          <w:szCs w:val="22"/>
        </w:rPr>
        <w:t>)</w:t>
      </w:r>
    </w:p>
    <w:p w:rsidR="00534B33" w:rsidRPr="00264D82" w:rsidRDefault="00BA5A38" w:rsidP="00BA5A3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P</w:t>
      </w:r>
      <w:r w:rsidR="00F32ED4" w:rsidRPr="00264D82">
        <w:rPr>
          <w:rFonts w:ascii="Times New Roman" w:hAnsi="Times New Roman"/>
          <w:sz w:val="22"/>
          <w:szCs w:val="22"/>
        </w:rPr>
        <w:t>orém, c</w:t>
      </w:r>
      <w:r w:rsidR="00534B33" w:rsidRPr="00264D82">
        <w:rPr>
          <w:rFonts w:ascii="Times New Roman" w:hAnsi="Times New Roman"/>
          <w:sz w:val="22"/>
          <w:szCs w:val="22"/>
        </w:rPr>
        <w:t xml:space="preserve">onforme apresentado acima, a origem </w:t>
      </w:r>
      <w:r w:rsidR="00F32ED4" w:rsidRPr="00264D82">
        <w:rPr>
          <w:rFonts w:ascii="Times New Roman" w:hAnsi="Times New Roman"/>
          <w:sz w:val="22"/>
          <w:szCs w:val="22"/>
        </w:rPr>
        <w:t xml:space="preserve">do referido projeto </w:t>
      </w:r>
      <w:r w:rsidR="00534B33" w:rsidRPr="00264D82">
        <w:rPr>
          <w:rFonts w:ascii="Times New Roman" w:hAnsi="Times New Roman"/>
          <w:sz w:val="22"/>
          <w:szCs w:val="22"/>
        </w:rPr>
        <w:t>não é a COA/</w:t>
      </w:r>
      <w:proofErr w:type="spellStart"/>
      <w:r w:rsidR="00534B33" w:rsidRPr="00264D82">
        <w:rPr>
          <w:rFonts w:ascii="Times New Roman" w:hAnsi="Times New Roman"/>
          <w:sz w:val="22"/>
          <w:szCs w:val="22"/>
        </w:rPr>
        <w:t>CPFi</w:t>
      </w:r>
      <w:proofErr w:type="spellEnd"/>
      <w:r w:rsidR="00F32ED4" w:rsidRPr="00264D82">
        <w:rPr>
          <w:rFonts w:ascii="Times New Roman" w:hAnsi="Times New Roman"/>
          <w:sz w:val="22"/>
          <w:szCs w:val="22"/>
        </w:rPr>
        <w:t>. Essas</w:t>
      </w:r>
      <w:r w:rsidR="00534B33" w:rsidRPr="00264D82">
        <w:rPr>
          <w:rFonts w:ascii="Times New Roman" w:hAnsi="Times New Roman"/>
          <w:sz w:val="22"/>
          <w:szCs w:val="22"/>
        </w:rPr>
        <w:t xml:space="preserve"> Comissões receberam o material pronto</w:t>
      </w:r>
      <w:r w:rsidR="00F32ED4" w:rsidRPr="00264D82">
        <w:rPr>
          <w:rFonts w:ascii="Times New Roman" w:hAnsi="Times New Roman"/>
          <w:sz w:val="22"/>
          <w:szCs w:val="22"/>
        </w:rPr>
        <w:t>. A</w:t>
      </w:r>
      <w:r w:rsidR="00534B33" w:rsidRPr="00264D82">
        <w:rPr>
          <w:rFonts w:ascii="Times New Roman" w:hAnsi="Times New Roman"/>
          <w:sz w:val="22"/>
          <w:szCs w:val="22"/>
        </w:rPr>
        <w:t xml:space="preserve"> origem é da Presidente e ou dos Funcionários do CAU/PR;</w:t>
      </w:r>
    </w:p>
    <w:p w:rsidR="00534B33" w:rsidRPr="00264D82" w:rsidRDefault="00534B33" w:rsidP="00BA5A3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  <w:u w:val="single"/>
        </w:rPr>
        <w:t>No momento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da reunião Plenária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foi apresentada Minuta de Deliberação Plenária</w:t>
      </w:r>
      <w:r w:rsidR="00BA5A38" w:rsidRPr="00264D82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BA5A38" w:rsidRPr="00264D82">
        <w:rPr>
          <w:rFonts w:ascii="Times New Roman" w:hAnsi="Times New Roman"/>
          <w:sz w:val="22"/>
          <w:szCs w:val="22"/>
        </w:rPr>
        <w:t>Há, neste caso, um choque óbvio com o</w:t>
      </w:r>
      <w:r w:rsidR="00BA5A38" w:rsidRPr="00264D82">
        <w:rPr>
          <w:rFonts w:ascii="Times New Roman" w:hAnsi="Times New Roman"/>
          <w:sz w:val="22"/>
          <w:szCs w:val="22"/>
        </w:rPr>
        <w:t xml:space="preserve"> Regimento Interno do CAU/PR</w:t>
      </w:r>
      <w:r w:rsidR="00BA5A38" w:rsidRPr="00264D82">
        <w:rPr>
          <w:rFonts w:ascii="Times New Roman" w:hAnsi="Times New Roman"/>
          <w:sz w:val="22"/>
          <w:szCs w:val="22"/>
        </w:rPr>
        <w:t xml:space="preserve">, que </w:t>
      </w:r>
      <w:r w:rsidR="00BA5A38" w:rsidRPr="00264D82">
        <w:rPr>
          <w:rFonts w:ascii="Times New Roman" w:hAnsi="Times New Roman"/>
          <w:sz w:val="22"/>
          <w:szCs w:val="22"/>
        </w:rPr>
        <w:t xml:space="preserve">determina que “Juntamente com a pauta deverá ser disponibilizada </w:t>
      </w:r>
      <w:proofErr w:type="gramStart"/>
      <w:r w:rsidR="00BA5A38" w:rsidRPr="00264D82">
        <w:rPr>
          <w:rFonts w:ascii="Times New Roman" w:hAnsi="Times New Roman"/>
          <w:sz w:val="22"/>
          <w:szCs w:val="22"/>
        </w:rPr>
        <w:t>a(</w:t>
      </w:r>
      <w:proofErr w:type="gramEnd"/>
      <w:r w:rsidR="00BA5A38" w:rsidRPr="00264D82">
        <w:rPr>
          <w:rFonts w:ascii="Times New Roman" w:hAnsi="Times New Roman"/>
          <w:sz w:val="22"/>
          <w:szCs w:val="22"/>
        </w:rPr>
        <w:t>s) matéria(s) que será(</w:t>
      </w:r>
      <w:proofErr w:type="spellStart"/>
      <w:r w:rsidR="00BA5A38" w:rsidRPr="00264D82">
        <w:rPr>
          <w:rFonts w:ascii="Times New Roman" w:hAnsi="Times New Roman"/>
          <w:sz w:val="22"/>
          <w:szCs w:val="22"/>
        </w:rPr>
        <w:t>ão</w:t>
      </w:r>
      <w:proofErr w:type="spellEnd"/>
      <w:r w:rsidR="00BA5A38" w:rsidRPr="00264D82">
        <w:rPr>
          <w:rFonts w:ascii="Times New Roman" w:hAnsi="Times New Roman"/>
          <w:sz w:val="22"/>
          <w:szCs w:val="22"/>
        </w:rPr>
        <w:t>) apreciada(s) para deliberação na reunião plenária</w:t>
      </w:r>
      <w:r w:rsidR="00BA5A38" w:rsidRPr="00264D82">
        <w:rPr>
          <w:rFonts w:ascii="Times New Roman" w:eastAsia="Calibri" w:hAnsi="Times New Roman"/>
          <w:sz w:val="22"/>
          <w:szCs w:val="22"/>
        </w:rPr>
        <w:t>”, cuja previsão regimental é de “</w:t>
      </w:r>
      <w:r w:rsidR="00BA5A38" w:rsidRPr="00264D82">
        <w:rPr>
          <w:rFonts w:ascii="Times New Roman" w:hAnsi="Times New Roman"/>
          <w:sz w:val="22"/>
          <w:szCs w:val="22"/>
        </w:rPr>
        <w:t xml:space="preserve">antecedência mínima de </w:t>
      </w:r>
      <w:r w:rsidR="00BA5A38" w:rsidRPr="00264D82">
        <w:rPr>
          <w:rFonts w:ascii="Times New Roman" w:hAnsi="Times New Roman"/>
          <w:bCs/>
          <w:sz w:val="22"/>
          <w:szCs w:val="22"/>
        </w:rPr>
        <w:t>5 (cinco</w:t>
      </w:r>
      <w:r w:rsidR="00BA5A38" w:rsidRPr="00264D82">
        <w:rPr>
          <w:rFonts w:ascii="Times New Roman" w:hAnsi="Times New Roman"/>
          <w:sz w:val="22"/>
          <w:szCs w:val="22"/>
        </w:rPr>
        <w:t>) dias da data de sua realização</w:t>
      </w:r>
      <w:r w:rsidR="00BA5A38" w:rsidRPr="00264D82">
        <w:rPr>
          <w:rFonts w:ascii="Times New Roman" w:eastAsia="Calibri" w:hAnsi="Times New Roman"/>
          <w:sz w:val="22"/>
          <w:szCs w:val="22"/>
        </w:rPr>
        <w:t xml:space="preserve">”. </w:t>
      </w:r>
      <w:r w:rsidR="00BA5A38" w:rsidRPr="00264D82">
        <w:rPr>
          <w:rFonts w:ascii="Times New Roman" w:eastAsia="Calibri" w:hAnsi="Times New Roman"/>
          <w:sz w:val="22"/>
          <w:szCs w:val="22"/>
        </w:rPr>
        <w:t xml:space="preserve">Se nada mais houvesse, o </w:t>
      </w:r>
      <w:r w:rsidR="00BA5A38" w:rsidRPr="00264D82">
        <w:rPr>
          <w:rFonts w:ascii="Times New Roman" w:eastAsia="Calibri" w:hAnsi="Times New Roman"/>
          <w:sz w:val="22"/>
          <w:szCs w:val="22"/>
        </w:rPr>
        <w:t xml:space="preserve">não cumprimento de tal princípio </w:t>
      </w:r>
      <w:r w:rsidR="00BA5A38" w:rsidRPr="00264D82">
        <w:rPr>
          <w:rFonts w:ascii="Times New Roman" w:eastAsia="Calibri" w:hAnsi="Times New Roman"/>
          <w:sz w:val="22"/>
          <w:szCs w:val="22"/>
        </w:rPr>
        <w:t xml:space="preserve">já justificaria </w:t>
      </w:r>
      <w:r w:rsidR="00BA5A38" w:rsidRPr="00264D82">
        <w:rPr>
          <w:rFonts w:ascii="Times New Roman" w:eastAsia="Calibri" w:hAnsi="Times New Roman"/>
          <w:sz w:val="22"/>
          <w:szCs w:val="22"/>
        </w:rPr>
        <w:t>o pedido de vistas que justificou este relato.</w:t>
      </w:r>
      <w:r w:rsidR="00BA5A38" w:rsidRPr="00264D82">
        <w:rPr>
          <w:rFonts w:ascii="Times New Roman" w:eastAsia="Calibri" w:hAnsi="Times New Roman"/>
          <w:sz w:val="22"/>
          <w:szCs w:val="22"/>
        </w:rPr>
        <w:t xml:space="preserve"> Porém, </w:t>
      </w:r>
      <w:proofErr w:type="gramStart"/>
      <w:r w:rsidR="00BA5A38" w:rsidRPr="00264D82">
        <w:rPr>
          <w:rFonts w:ascii="Times New Roman" w:eastAsia="Calibri" w:hAnsi="Times New Roman"/>
          <w:sz w:val="22"/>
          <w:szCs w:val="22"/>
        </w:rPr>
        <w:t>a Minuta de Deliberação Plenária contem</w:t>
      </w:r>
      <w:proofErr w:type="gramEnd"/>
      <w:r w:rsidR="00BA5A38" w:rsidRPr="00264D82">
        <w:rPr>
          <w:rFonts w:ascii="Times New Roman" w:eastAsia="Calibri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sz w:val="22"/>
          <w:szCs w:val="22"/>
        </w:rPr>
        <w:t xml:space="preserve">propostas e temas </w:t>
      </w:r>
      <w:r w:rsidR="00BA5A38" w:rsidRPr="00264D82">
        <w:rPr>
          <w:rFonts w:ascii="Times New Roman" w:hAnsi="Times New Roman"/>
          <w:sz w:val="22"/>
          <w:szCs w:val="22"/>
        </w:rPr>
        <w:t xml:space="preserve">que </w:t>
      </w:r>
      <w:proofErr w:type="spellStart"/>
      <w:r w:rsidR="00BA5A38" w:rsidRPr="00264D82">
        <w:rPr>
          <w:rFonts w:ascii="Times New Roman" w:hAnsi="Times New Roman"/>
          <w:sz w:val="22"/>
          <w:szCs w:val="22"/>
        </w:rPr>
        <w:t>vao</w:t>
      </w:r>
      <w:proofErr w:type="spellEnd"/>
      <w:r w:rsidR="00BA5A38"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sz w:val="22"/>
          <w:szCs w:val="22"/>
        </w:rPr>
        <w:t>muito além do Organograma, como será demonstrado na sequ</w:t>
      </w:r>
      <w:r w:rsidR="00F32ED4" w:rsidRPr="00264D82">
        <w:rPr>
          <w:rFonts w:ascii="Times New Roman" w:hAnsi="Times New Roman"/>
          <w:sz w:val="22"/>
          <w:szCs w:val="22"/>
        </w:rPr>
        <w:t>ê</w:t>
      </w:r>
      <w:r w:rsidRPr="00264D82">
        <w:rPr>
          <w:rFonts w:ascii="Times New Roman" w:hAnsi="Times New Roman"/>
          <w:sz w:val="22"/>
          <w:szCs w:val="22"/>
        </w:rPr>
        <w:t>ncia.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BA5A38">
      <w:pPr>
        <w:spacing w:before="120" w:after="120"/>
        <w:ind w:firstLine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Consta da Minuta de Deliberação</w:t>
      </w:r>
      <w:r w:rsidR="00BA5A38" w:rsidRPr="00264D82">
        <w:rPr>
          <w:rFonts w:ascii="Times New Roman" w:hAnsi="Times New Roman"/>
          <w:sz w:val="22"/>
          <w:szCs w:val="22"/>
        </w:rPr>
        <w:t xml:space="preserve"> Planária</w:t>
      </w:r>
      <w:r w:rsidRPr="00264D82">
        <w:rPr>
          <w:rFonts w:ascii="Times New Roman" w:hAnsi="Times New Roman"/>
          <w:sz w:val="22"/>
          <w:szCs w:val="22"/>
        </w:rPr>
        <w:t>:</w:t>
      </w:r>
    </w:p>
    <w:p w:rsidR="00534B33" w:rsidRPr="00264D82" w:rsidRDefault="00534B33" w:rsidP="00BA5A38">
      <w:pPr>
        <w:spacing w:before="120" w:after="120"/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“</w:t>
      </w:r>
      <w:r w:rsidRPr="00264D82">
        <w:rPr>
          <w:rFonts w:ascii="Times New Roman" w:hAnsi="Times New Roman"/>
          <w:b/>
          <w:sz w:val="22"/>
          <w:szCs w:val="22"/>
        </w:rPr>
        <w:t>1.</w:t>
      </w:r>
      <w:r w:rsidRPr="00264D82">
        <w:rPr>
          <w:rFonts w:ascii="Times New Roman" w:hAnsi="Times New Roman"/>
          <w:sz w:val="22"/>
          <w:szCs w:val="22"/>
        </w:rPr>
        <w:t xml:space="preserve"> Aprovar o acréscimo ao Anexo I da Deliberação Plenária CAU/PR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4D82">
        <w:rPr>
          <w:rFonts w:ascii="Times New Roman" w:hAnsi="Times New Roman"/>
          <w:sz w:val="22"/>
          <w:szCs w:val="22"/>
        </w:rPr>
        <w:t>23 ,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de 09 de fevereiro de 2015, dos seguintes empregos de Livre Provimento e Demissão: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Chefe de Gabinete, com a remuneração de R$ 15.444,44 (quinze mil, quatrocentos e quarenta e quatro reais e quarenta centavos);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Secretário da Mesa, com numeração de R$ 12.500,00 (doze mil e quinhentos reais);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Ouvidor, com remuneração de R$ 12.500,00 (doze mil e quinhentos reais);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Assessor de Planejamento e Gestão Estratégica, com remuneração de R$ 7.120,15 (sete mil, cento e vinte reais e quinze centavos);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Assessor Operacional Administrativo, com remuneração de R$ 4.200,00 (quatro mil e duzentos reais); e</w:t>
      </w:r>
    </w:p>
    <w:p w:rsidR="00534B33" w:rsidRPr="00264D82" w:rsidRDefault="00534B33" w:rsidP="00A72676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Supervisor de Atendimento, com remuneração de R$ 3.500,00 (três mil e quinhentos reais).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2.</w:t>
      </w:r>
      <w:r w:rsidRPr="00264D82">
        <w:rPr>
          <w:rFonts w:ascii="Times New Roman" w:hAnsi="Times New Roman"/>
          <w:sz w:val="22"/>
          <w:szCs w:val="22"/>
        </w:rPr>
        <w:t xml:space="preserve"> Alterar a nomenclatura do cargo de Gerente de Fiscalização para Gerente Técnico e de Fiscalização;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3.</w:t>
      </w:r>
      <w:r w:rsidRPr="00264D82">
        <w:rPr>
          <w:rFonts w:ascii="Times New Roman" w:hAnsi="Times New Roman"/>
          <w:sz w:val="22"/>
          <w:szCs w:val="22"/>
        </w:rPr>
        <w:t xml:space="preserve"> Não aplicar a Progressão por Mérito prevista na Deliberação Plenária CAU/PR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23 aos empregados de provimento em comissão do CAU/PR. Manter as demais Condições da referida Deliberação, bem como as Progressões por Mérito aos empregados efetivos, até aprovação de um novo Plano de Cargos, Carreiras e Salários do CAU/PR.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4.</w:t>
      </w:r>
      <w:r w:rsidRPr="00264D82">
        <w:rPr>
          <w:rFonts w:ascii="Times New Roman" w:hAnsi="Times New Roman"/>
          <w:sz w:val="22"/>
          <w:szCs w:val="22"/>
        </w:rPr>
        <w:t xml:space="preserve"> Aprovar a proposta de correlação entre os empregos de livre provimento e exoneração do CAU/PR aos cargos em comissão do Grupo Direção e Assessoramento Superior (DAS), da Administração Pública Federal, bem como dos percentuais mínimos de ocupação desses empregos de livre provimentos e exoneração por empregados públicos efetivos, na forma do Anexo I desta Deliberação Plenária;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5.</w:t>
      </w:r>
      <w:r w:rsidRPr="00264D82">
        <w:rPr>
          <w:rFonts w:ascii="Times New Roman" w:hAnsi="Times New Roman"/>
          <w:sz w:val="22"/>
          <w:szCs w:val="22"/>
        </w:rPr>
        <w:t xml:space="preserve"> Aprovar a reestruturação organizacional do CAU/PR na forma do organograma apresentado no Anexo II desta deliberação;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6.</w:t>
      </w:r>
      <w:r w:rsidRPr="00264D82">
        <w:rPr>
          <w:rFonts w:ascii="Times New Roman" w:hAnsi="Times New Roman"/>
          <w:sz w:val="22"/>
          <w:szCs w:val="22"/>
        </w:rPr>
        <w:t xml:space="preserve"> Revogar a Deliberação Plenária DPOPR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81-02/2018, de 22 de maio de 2018;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7.</w:t>
      </w:r>
      <w:r w:rsidRPr="00264D82">
        <w:rPr>
          <w:rFonts w:ascii="Times New Roman" w:hAnsi="Times New Roman"/>
          <w:sz w:val="22"/>
          <w:szCs w:val="22"/>
        </w:rPr>
        <w:t xml:space="preserve"> Aprovar a proposta de criação de funções gratificadas, na forma do Anexo III desta Deliberação Plenária;</w:t>
      </w:r>
    </w:p>
    <w:p w:rsidR="00534B33" w:rsidRPr="00264D82" w:rsidRDefault="00534B33" w:rsidP="00A72676">
      <w:pPr>
        <w:spacing w:before="120" w:after="120"/>
        <w:ind w:left="1701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Junto à Minuta de Deliberação consta também:</w:t>
      </w:r>
    </w:p>
    <w:p w:rsidR="00534B33" w:rsidRPr="00264D82" w:rsidRDefault="00534B33" w:rsidP="00BA5A38">
      <w:pPr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Anexo I.1 – Correlação de Cargos de Livre Provimento e Exoneração do CAU/PR aos níveis DAS;</w:t>
      </w:r>
    </w:p>
    <w:p w:rsidR="00534B33" w:rsidRPr="00264D82" w:rsidRDefault="00534B33" w:rsidP="00BA5A38">
      <w:pPr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Anexo II – Organograma;</w:t>
      </w:r>
    </w:p>
    <w:p w:rsidR="00534B33" w:rsidRPr="00264D82" w:rsidRDefault="00534B33" w:rsidP="00BA5A38">
      <w:pPr>
        <w:ind w:left="1416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Anexo III – Funções Gratificadas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Estes assuntos t</w:t>
      </w:r>
      <w:r w:rsidR="00F32ED4" w:rsidRPr="00264D82">
        <w:rPr>
          <w:rFonts w:ascii="Times New Roman" w:hAnsi="Times New Roman"/>
          <w:sz w:val="22"/>
          <w:szCs w:val="22"/>
        </w:rPr>
        <w:t>ê</w:t>
      </w:r>
      <w:r w:rsidRPr="00264D82">
        <w:rPr>
          <w:rFonts w:ascii="Times New Roman" w:hAnsi="Times New Roman"/>
          <w:sz w:val="22"/>
          <w:szCs w:val="22"/>
        </w:rPr>
        <w:t>m ligação com Organograma</w:t>
      </w:r>
      <w:r w:rsidR="00BA5A38" w:rsidRPr="00264D82">
        <w:rPr>
          <w:rFonts w:ascii="Times New Roman" w:hAnsi="Times New Roman"/>
          <w:sz w:val="22"/>
          <w:szCs w:val="22"/>
        </w:rPr>
        <w:t>.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="00BA5A38" w:rsidRPr="00264D82">
        <w:rPr>
          <w:rFonts w:ascii="Times New Roman" w:hAnsi="Times New Roman"/>
          <w:sz w:val="22"/>
          <w:szCs w:val="22"/>
        </w:rPr>
        <w:t>Porém,</w:t>
      </w:r>
      <w:r w:rsidRPr="00264D82">
        <w:rPr>
          <w:rFonts w:ascii="Times New Roman" w:hAnsi="Times New Roman"/>
          <w:sz w:val="22"/>
          <w:szCs w:val="22"/>
        </w:rPr>
        <w:t xml:space="preserve"> não são condições necessárias para a aprovação </w:t>
      </w:r>
      <w:r w:rsidR="00BA5A38" w:rsidRPr="00264D82">
        <w:rPr>
          <w:rFonts w:ascii="Times New Roman" w:hAnsi="Times New Roman"/>
          <w:sz w:val="22"/>
          <w:szCs w:val="22"/>
        </w:rPr>
        <w:t>de um Organograma</w:t>
      </w:r>
      <w:r w:rsidRPr="00264D82">
        <w:rPr>
          <w:rFonts w:ascii="Times New Roman" w:hAnsi="Times New Roman"/>
          <w:sz w:val="22"/>
          <w:szCs w:val="22"/>
        </w:rPr>
        <w:t>.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Tais assuntos e temas não entraram na pauta da reunião Plenária, bem como nas das comissões pertinentes.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Importante destacar que toda alteração, mesmo que isolada, de planos de cargos e salários gera um efeito cascata futuro de grande impacto nas contas do conselho</w:t>
      </w:r>
      <w:r w:rsidR="00F32ED4" w:rsidRPr="00264D82">
        <w:rPr>
          <w:rFonts w:ascii="Times New Roman" w:hAnsi="Times New Roman"/>
          <w:sz w:val="22"/>
          <w:szCs w:val="22"/>
        </w:rPr>
        <w:t>. A</w:t>
      </w:r>
      <w:r w:rsidRPr="00264D82">
        <w:rPr>
          <w:rFonts w:ascii="Times New Roman" w:hAnsi="Times New Roman"/>
          <w:sz w:val="22"/>
          <w:szCs w:val="22"/>
        </w:rPr>
        <w:t>ssim sendo, a cada novo plano deve ser revisto o efeito para 35 anos de impacto, pois o efeito dele é permanente aos olhos da justiça do trabalho, impactando até o momento da aposentadoria do funcionário. Lembrando ainda, que a cada ano ele tem seu aumento percentual de reajustes e aumentos funcionais, que nestes patamares devem alcançar teto do funcionalismo antes mesmo de 20 anos de carreira.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Além disso, estas alterações criam margem para contestações na justiça do trabalho para equiparação de funções e cargos para que outros funcionários, inclusive futuros, para que sejam enquadrados em patamares salariais diferentes aos quais foram previamente estabelecidos em concurso, com isso podemos chegar muito em breve </w:t>
      </w:r>
      <w:proofErr w:type="gramStart"/>
      <w:r w:rsidRPr="00264D82">
        <w:rPr>
          <w:rFonts w:ascii="Times New Roman" w:hAnsi="Times New Roman"/>
          <w:sz w:val="22"/>
          <w:szCs w:val="22"/>
        </w:rPr>
        <w:t>ao limites prudenciais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da lei de responsabilidade fiscal. 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A própria progressão por mérito vertical, </w:t>
      </w:r>
      <w:r w:rsidR="00F32ED4" w:rsidRPr="00264D82">
        <w:rPr>
          <w:rFonts w:ascii="Times New Roman" w:hAnsi="Times New Roman"/>
          <w:sz w:val="22"/>
          <w:szCs w:val="22"/>
        </w:rPr>
        <w:t xml:space="preserve">além </w:t>
      </w:r>
      <w:r w:rsidRPr="00264D82">
        <w:rPr>
          <w:rFonts w:ascii="Times New Roman" w:hAnsi="Times New Roman"/>
          <w:sz w:val="22"/>
          <w:szCs w:val="22"/>
        </w:rPr>
        <w:t xml:space="preserve">de critérios rígidos de interesse do conselho, deve ser feita sob demanda e com vagas limitadas. Permitindo a progressão apenas quando houver novas vagas para nova função, </w:t>
      </w:r>
      <w:r w:rsidR="00F32ED4" w:rsidRPr="00264D82">
        <w:rPr>
          <w:rFonts w:ascii="Times New Roman" w:hAnsi="Times New Roman"/>
          <w:sz w:val="22"/>
          <w:szCs w:val="22"/>
        </w:rPr>
        <w:t xml:space="preserve">além </w:t>
      </w:r>
      <w:r w:rsidRPr="00264D82">
        <w:rPr>
          <w:rFonts w:ascii="Times New Roman" w:hAnsi="Times New Roman"/>
          <w:sz w:val="22"/>
          <w:szCs w:val="22"/>
        </w:rPr>
        <w:t>de analise orçamentária sobre o assunto.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Outro fator a ser analisado na criação dos cargos é an</w:t>
      </w:r>
      <w:r w:rsidR="00F32ED4" w:rsidRPr="00264D82">
        <w:rPr>
          <w:rFonts w:ascii="Times New Roman" w:hAnsi="Times New Roman"/>
          <w:sz w:val="22"/>
          <w:szCs w:val="22"/>
        </w:rPr>
        <w:t>á</w:t>
      </w:r>
      <w:r w:rsidRPr="00264D82">
        <w:rPr>
          <w:rFonts w:ascii="Times New Roman" w:hAnsi="Times New Roman"/>
          <w:sz w:val="22"/>
          <w:szCs w:val="22"/>
        </w:rPr>
        <w:t xml:space="preserve">lise de sobreposição de funções, onde deve ser muito bem detalhado quais são as atribuições de cada um dos cargos, evitando com isso desperdício de trabalho e pagamentos duplicados para mesmas atribuições, inclusive sendo feita análise sobre </w:t>
      </w:r>
      <w:proofErr w:type="gramStart"/>
      <w:r w:rsidRPr="00264D82">
        <w:rPr>
          <w:rFonts w:ascii="Times New Roman" w:hAnsi="Times New Roman"/>
          <w:sz w:val="22"/>
          <w:szCs w:val="22"/>
        </w:rPr>
        <w:t>desvio(</w:t>
      </w:r>
      <w:proofErr w:type="gramEnd"/>
      <w:r w:rsidRPr="00264D82">
        <w:rPr>
          <w:rFonts w:ascii="Times New Roman" w:hAnsi="Times New Roman"/>
          <w:sz w:val="22"/>
          <w:szCs w:val="22"/>
        </w:rPr>
        <w:t>s) de funções, e os cargos já existentes preenchidos por concursos, e os impactos sobre a contratação de terceirizados que fazem funções já inerentes ao conselho. Junto a isso, é preciso fazer uma análise de porte institucional para saber dentro do tamanho da autarquia se funções muito especificas terão demanda para dedicação total, inclusive comparando com outras estruturas gov</w:t>
      </w:r>
      <w:r w:rsidR="00F32ED4" w:rsidRPr="00264D82">
        <w:rPr>
          <w:rFonts w:ascii="Times New Roman" w:hAnsi="Times New Roman"/>
          <w:sz w:val="22"/>
          <w:szCs w:val="22"/>
        </w:rPr>
        <w:t>ernamentais. Há que se refletir</w:t>
      </w:r>
      <w:r w:rsidRPr="00264D82">
        <w:rPr>
          <w:rFonts w:ascii="Times New Roman" w:hAnsi="Times New Roman"/>
          <w:sz w:val="22"/>
          <w:szCs w:val="22"/>
        </w:rPr>
        <w:t xml:space="preserve"> se</w:t>
      </w:r>
      <w:r w:rsidR="00F32ED4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4D82">
        <w:rPr>
          <w:rFonts w:ascii="Times New Roman" w:hAnsi="Times New Roman"/>
          <w:sz w:val="22"/>
          <w:szCs w:val="22"/>
        </w:rPr>
        <w:t>num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 Conselho com 37 servidores (funcionários e comissionados) é pertinente </w:t>
      </w:r>
      <w:r w:rsidR="00F32ED4" w:rsidRPr="00264D82">
        <w:rPr>
          <w:rFonts w:ascii="Times New Roman" w:hAnsi="Times New Roman"/>
          <w:sz w:val="22"/>
          <w:szCs w:val="22"/>
        </w:rPr>
        <w:t>haver</w:t>
      </w:r>
      <w:r w:rsidRPr="00264D82">
        <w:rPr>
          <w:rFonts w:ascii="Times New Roman" w:hAnsi="Times New Roman"/>
          <w:sz w:val="22"/>
          <w:szCs w:val="22"/>
        </w:rPr>
        <w:t xml:space="preserve"> 31 gratificações. Resultando em quase 85% dos funcionários em funções de confiança e direção.</w:t>
      </w:r>
    </w:p>
    <w:p w:rsidR="00534B33" w:rsidRPr="00264D82" w:rsidRDefault="00534B33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Fato exposto ressaltamos que é irresponsável a alteração destes planos e cargos sem relatórios detalhados sobre todos estes itens apontados, principalmente, numa diminuição de arrecadação que o conselho vem sofrendo nos últimos anos. Vide Plano Orçamentário onde foi previst</w:t>
      </w:r>
      <w:r w:rsidR="000B3C7D" w:rsidRPr="00264D82">
        <w:rPr>
          <w:rFonts w:ascii="Times New Roman" w:hAnsi="Times New Roman"/>
          <w:sz w:val="22"/>
          <w:szCs w:val="22"/>
        </w:rPr>
        <w:t>a</w:t>
      </w:r>
      <w:r w:rsidRPr="00264D82">
        <w:rPr>
          <w:rFonts w:ascii="Times New Roman" w:hAnsi="Times New Roman"/>
          <w:sz w:val="22"/>
          <w:szCs w:val="22"/>
        </w:rPr>
        <w:t xml:space="preserve"> um</w:t>
      </w:r>
      <w:r w:rsidR="000B3C7D" w:rsidRPr="00264D82">
        <w:rPr>
          <w:rFonts w:ascii="Times New Roman" w:hAnsi="Times New Roman"/>
          <w:sz w:val="22"/>
          <w:szCs w:val="22"/>
        </w:rPr>
        <w:t>a</w:t>
      </w:r>
      <w:r w:rsidRPr="00264D82">
        <w:rPr>
          <w:rFonts w:ascii="Times New Roman" w:hAnsi="Times New Roman"/>
          <w:sz w:val="22"/>
          <w:szCs w:val="22"/>
        </w:rPr>
        <w:t xml:space="preserve"> queda de arrecadação em relação a 2018, conforme documento aprovado em dezembro de 2018</w:t>
      </w:r>
    </w:p>
    <w:p w:rsidR="00534B33" w:rsidRPr="00264D82" w:rsidRDefault="000B3C7D" w:rsidP="00BA5A38">
      <w:pPr>
        <w:spacing w:before="120" w:after="120"/>
        <w:ind w:left="708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Itens como </w:t>
      </w:r>
      <w:r w:rsidR="00534B33" w:rsidRPr="00264D82">
        <w:rPr>
          <w:rFonts w:ascii="Times New Roman" w:hAnsi="Times New Roman"/>
          <w:sz w:val="22"/>
          <w:szCs w:val="22"/>
        </w:rPr>
        <w:t xml:space="preserve">Funções Gratificadas, Níveis de DAS, Salários, Progressões por Mérito, entre outros, tem impacto financeiro, </w:t>
      </w:r>
      <w:r w:rsidRPr="00264D82">
        <w:rPr>
          <w:rFonts w:ascii="Times New Roman" w:hAnsi="Times New Roman"/>
          <w:sz w:val="22"/>
          <w:szCs w:val="22"/>
        </w:rPr>
        <w:t xml:space="preserve">e devem </w:t>
      </w:r>
      <w:r w:rsidR="00534B33" w:rsidRPr="00264D82">
        <w:rPr>
          <w:rFonts w:ascii="Times New Roman" w:hAnsi="Times New Roman"/>
          <w:sz w:val="22"/>
          <w:szCs w:val="22"/>
        </w:rPr>
        <w:t>ser detalhado</w:t>
      </w:r>
      <w:r w:rsidRPr="00264D82">
        <w:rPr>
          <w:rFonts w:ascii="Times New Roman" w:hAnsi="Times New Roman"/>
          <w:sz w:val="22"/>
          <w:szCs w:val="22"/>
        </w:rPr>
        <w:t>s</w:t>
      </w:r>
      <w:r w:rsidR="00534B33" w:rsidRPr="00264D82">
        <w:rPr>
          <w:rFonts w:ascii="Times New Roman" w:hAnsi="Times New Roman"/>
          <w:sz w:val="22"/>
          <w:szCs w:val="22"/>
        </w:rPr>
        <w:t>, ser estudado</w:t>
      </w:r>
      <w:r w:rsidRPr="00264D82">
        <w:rPr>
          <w:rFonts w:ascii="Times New Roman" w:hAnsi="Times New Roman"/>
          <w:sz w:val="22"/>
          <w:szCs w:val="22"/>
        </w:rPr>
        <w:t>s</w:t>
      </w:r>
      <w:r w:rsidR="00534B33" w:rsidRPr="00264D82">
        <w:rPr>
          <w:rFonts w:ascii="Times New Roman" w:hAnsi="Times New Roman"/>
          <w:sz w:val="22"/>
          <w:szCs w:val="22"/>
        </w:rPr>
        <w:t xml:space="preserve"> ao longo do período trabalhado</w:t>
      </w:r>
      <w:r w:rsidRPr="00264D82">
        <w:rPr>
          <w:rFonts w:ascii="Times New Roman" w:hAnsi="Times New Roman"/>
          <w:sz w:val="22"/>
          <w:szCs w:val="22"/>
        </w:rPr>
        <w:t>. Nada disso</w:t>
      </w:r>
      <w:r w:rsidR="00534B33" w:rsidRPr="00264D82">
        <w:rPr>
          <w:rFonts w:ascii="Times New Roman" w:hAnsi="Times New Roman"/>
          <w:sz w:val="22"/>
          <w:szCs w:val="22"/>
        </w:rPr>
        <w:t xml:space="preserve"> pode ser aprovado ao atropelo.</w:t>
      </w:r>
    </w:p>
    <w:p w:rsidR="00D94E54" w:rsidRPr="00264D82" w:rsidRDefault="00D94E54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94E54" w:rsidRPr="00264D82" w:rsidRDefault="00D94E54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C52C2E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br w:type="page"/>
      </w:r>
      <w:r w:rsidR="000B3C7D" w:rsidRPr="00264D82">
        <w:rPr>
          <w:rFonts w:ascii="Times New Roman" w:hAnsi="Times New Roman"/>
          <w:sz w:val="22"/>
          <w:szCs w:val="22"/>
        </w:rPr>
        <w:lastRenderedPageBreak/>
        <w:t xml:space="preserve">Parte 3) </w:t>
      </w:r>
      <w:r w:rsidRPr="00264D82">
        <w:rPr>
          <w:rFonts w:ascii="Times New Roman" w:hAnsi="Times New Roman"/>
          <w:b/>
          <w:sz w:val="22"/>
          <w:szCs w:val="22"/>
        </w:rPr>
        <w:t>SOBRE O ORGANOGRAMA APRESENTADO AOS CONSELHEIROS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C6DEC" w:rsidRPr="00264D82" w:rsidRDefault="00CC6DEC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Podemos, a respeito do Organograma apresentado, apresentar ao menos cinco objeções, a saber:</w:t>
      </w:r>
    </w:p>
    <w:p w:rsidR="00CC6DEC" w:rsidRPr="00264D82" w:rsidRDefault="00CC6DEC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A72676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Assessoria de Planejamento e Gestão Estratégica</w:t>
      </w:r>
      <w:r w:rsidRPr="00264D82">
        <w:rPr>
          <w:rFonts w:ascii="Times New Roman" w:hAnsi="Times New Roman"/>
          <w:sz w:val="22"/>
          <w:szCs w:val="22"/>
        </w:rPr>
        <w:t xml:space="preserve"> é um cargo</w:t>
      </w:r>
      <w:r w:rsidR="000B3C7D" w:rsidRPr="00264D82">
        <w:rPr>
          <w:rFonts w:ascii="Times New Roman" w:hAnsi="Times New Roman"/>
          <w:sz w:val="22"/>
          <w:szCs w:val="22"/>
        </w:rPr>
        <w:t>.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="000B3C7D" w:rsidRPr="00264D82">
        <w:rPr>
          <w:rFonts w:ascii="Times New Roman" w:hAnsi="Times New Roman"/>
          <w:sz w:val="22"/>
          <w:szCs w:val="22"/>
        </w:rPr>
        <w:t>Q</w:t>
      </w:r>
      <w:r w:rsidRPr="00264D82">
        <w:rPr>
          <w:rFonts w:ascii="Times New Roman" w:hAnsi="Times New Roman"/>
          <w:sz w:val="22"/>
          <w:szCs w:val="22"/>
        </w:rPr>
        <w:t xml:space="preserve">uem faz administração do Conselho é </w:t>
      </w:r>
      <w:proofErr w:type="gramStart"/>
      <w:r w:rsidRPr="00264D82">
        <w:rPr>
          <w:rFonts w:ascii="Times New Roman" w:hAnsi="Times New Roman"/>
          <w:sz w:val="22"/>
          <w:szCs w:val="22"/>
        </w:rPr>
        <w:t>o(</w:t>
      </w:r>
      <w:proofErr w:type="gramEnd"/>
      <w:r w:rsidRPr="00264D82">
        <w:rPr>
          <w:rFonts w:ascii="Times New Roman" w:hAnsi="Times New Roman"/>
          <w:sz w:val="22"/>
          <w:szCs w:val="22"/>
        </w:rPr>
        <w:t>a) Presidente</w:t>
      </w:r>
      <w:r w:rsidR="000B3C7D" w:rsidRPr="00264D82">
        <w:rPr>
          <w:rFonts w:ascii="Times New Roman" w:hAnsi="Times New Roman"/>
          <w:sz w:val="22"/>
          <w:szCs w:val="22"/>
        </w:rPr>
        <w:t>;</w:t>
      </w:r>
      <w:r w:rsidRPr="00264D82">
        <w:rPr>
          <w:rFonts w:ascii="Times New Roman" w:hAnsi="Times New Roman"/>
          <w:sz w:val="22"/>
          <w:szCs w:val="22"/>
        </w:rPr>
        <w:t xml:space="preserve"> todos os cargos/empregados estão subordinados a este(a). Conselho Diretor não é administrador do CAU/PR, não faz gerência de cargo/servidor;</w:t>
      </w:r>
    </w:p>
    <w:p w:rsidR="00534B33" w:rsidRPr="00264D82" w:rsidRDefault="00534B33" w:rsidP="00A72676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Assessorias</w:t>
      </w:r>
      <w:r w:rsidRPr="00264D82">
        <w:rPr>
          <w:rFonts w:ascii="Times New Roman" w:hAnsi="Times New Roman"/>
          <w:sz w:val="22"/>
          <w:szCs w:val="22"/>
        </w:rPr>
        <w:t xml:space="preserve"> são cargos de chefia, assim como gerentes</w:t>
      </w:r>
      <w:r w:rsidR="000B3C7D" w:rsidRPr="00264D82">
        <w:rPr>
          <w:rFonts w:ascii="Times New Roman" w:hAnsi="Times New Roman"/>
          <w:sz w:val="22"/>
          <w:szCs w:val="22"/>
        </w:rPr>
        <w:t>. Portanto, tais cargos dependem de</w:t>
      </w:r>
      <w:r w:rsidRPr="00264D82">
        <w:rPr>
          <w:rFonts w:ascii="Times New Roman" w:hAnsi="Times New Roman"/>
          <w:sz w:val="22"/>
          <w:szCs w:val="22"/>
        </w:rPr>
        <w:t xml:space="preserve"> equipe de trabalho, hierarquicamente abaixo</w:t>
      </w:r>
      <w:r w:rsidR="000B3C7D" w:rsidRPr="00264D82">
        <w:rPr>
          <w:rFonts w:ascii="Times New Roman" w:hAnsi="Times New Roman"/>
          <w:sz w:val="22"/>
          <w:szCs w:val="22"/>
        </w:rPr>
        <w:t>.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="000B3C7D" w:rsidRPr="00264D82">
        <w:rPr>
          <w:rFonts w:ascii="Times New Roman" w:hAnsi="Times New Roman"/>
          <w:sz w:val="22"/>
          <w:szCs w:val="22"/>
        </w:rPr>
        <w:t>A</w:t>
      </w:r>
      <w:r w:rsidRPr="00264D82">
        <w:rPr>
          <w:rFonts w:ascii="Times New Roman" w:hAnsi="Times New Roman"/>
          <w:sz w:val="22"/>
          <w:szCs w:val="22"/>
        </w:rPr>
        <w:t>ssim sendo</w:t>
      </w:r>
      <w:r w:rsidR="000B3C7D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="00CC6DEC" w:rsidRPr="00264D82">
        <w:rPr>
          <w:rFonts w:ascii="Times New Roman" w:hAnsi="Times New Roman"/>
          <w:sz w:val="22"/>
          <w:szCs w:val="22"/>
        </w:rPr>
        <w:t>o (</w:t>
      </w:r>
      <w:r w:rsidRPr="00264D82">
        <w:rPr>
          <w:rFonts w:ascii="Times New Roman" w:hAnsi="Times New Roman"/>
          <w:sz w:val="22"/>
          <w:szCs w:val="22"/>
        </w:rPr>
        <w:t>a</w:t>
      </w:r>
      <w:r w:rsidR="00CC6DEC" w:rsidRPr="00264D82">
        <w:rPr>
          <w:rFonts w:ascii="Times New Roman" w:hAnsi="Times New Roman"/>
          <w:sz w:val="22"/>
          <w:szCs w:val="22"/>
        </w:rPr>
        <w:t>)</w:t>
      </w:r>
      <w:r w:rsidRPr="00264D82">
        <w:rPr>
          <w:rFonts w:ascii="Times New Roman" w:hAnsi="Times New Roman"/>
          <w:sz w:val="22"/>
          <w:szCs w:val="22"/>
        </w:rPr>
        <w:t xml:space="preserve"> Presidente requisita para si </w:t>
      </w:r>
      <w:proofErr w:type="gramStart"/>
      <w:r w:rsidRPr="00264D82">
        <w:rPr>
          <w:rFonts w:ascii="Times New Roman" w:hAnsi="Times New Roman"/>
          <w:sz w:val="22"/>
          <w:szCs w:val="22"/>
        </w:rPr>
        <w:t>um</w:t>
      </w:r>
      <w:r w:rsidR="00CC6DEC" w:rsidRPr="00264D82">
        <w:rPr>
          <w:rFonts w:ascii="Times New Roman" w:hAnsi="Times New Roman"/>
          <w:sz w:val="22"/>
          <w:szCs w:val="22"/>
        </w:rPr>
        <w:t>(</w:t>
      </w:r>
      <w:proofErr w:type="gramEnd"/>
      <w:r w:rsidRPr="00264D82">
        <w:rPr>
          <w:rFonts w:ascii="Times New Roman" w:hAnsi="Times New Roman"/>
          <w:sz w:val="22"/>
          <w:szCs w:val="22"/>
        </w:rPr>
        <w:t>a</w:t>
      </w:r>
      <w:r w:rsidR="00CC6DEC" w:rsidRPr="00264D82">
        <w:rPr>
          <w:rFonts w:ascii="Times New Roman" w:hAnsi="Times New Roman"/>
          <w:sz w:val="22"/>
          <w:szCs w:val="22"/>
        </w:rPr>
        <w:t>)</w:t>
      </w:r>
      <w:r w:rsidRPr="00264D82">
        <w:rPr>
          <w:rFonts w:ascii="Times New Roman" w:hAnsi="Times New Roman"/>
          <w:sz w:val="22"/>
          <w:szCs w:val="22"/>
        </w:rPr>
        <w:t xml:space="preserve"> assistente advogad</w:t>
      </w:r>
      <w:r w:rsidR="00CC6DEC" w:rsidRPr="00264D82">
        <w:rPr>
          <w:rFonts w:ascii="Times New Roman" w:hAnsi="Times New Roman"/>
          <w:sz w:val="22"/>
          <w:szCs w:val="22"/>
        </w:rPr>
        <w:t>o(a)</w:t>
      </w:r>
      <w:r w:rsidRPr="00264D82">
        <w:rPr>
          <w:rFonts w:ascii="Times New Roman" w:hAnsi="Times New Roman"/>
          <w:sz w:val="22"/>
          <w:szCs w:val="22"/>
        </w:rPr>
        <w:t>, e não um</w:t>
      </w:r>
      <w:r w:rsidR="00CC6DEC" w:rsidRPr="00264D82">
        <w:rPr>
          <w:rFonts w:ascii="Times New Roman" w:hAnsi="Times New Roman"/>
          <w:sz w:val="22"/>
          <w:szCs w:val="22"/>
        </w:rPr>
        <w:t>(</w:t>
      </w:r>
      <w:r w:rsidRPr="00264D82">
        <w:rPr>
          <w:rFonts w:ascii="Times New Roman" w:hAnsi="Times New Roman"/>
          <w:sz w:val="22"/>
          <w:szCs w:val="22"/>
        </w:rPr>
        <w:t>a</w:t>
      </w:r>
      <w:r w:rsidR="00CC6DEC" w:rsidRPr="00264D82">
        <w:rPr>
          <w:rFonts w:ascii="Times New Roman" w:hAnsi="Times New Roman"/>
          <w:sz w:val="22"/>
          <w:szCs w:val="22"/>
        </w:rPr>
        <w:t>)</w:t>
      </w:r>
      <w:r w:rsidRPr="00264D82">
        <w:rPr>
          <w:rFonts w:ascii="Times New Roman" w:hAnsi="Times New Roman"/>
          <w:sz w:val="22"/>
          <w:szCs w:val="22"/>
        </w:rPr>
        <w:t xml:space="preserve"> assessor</w:t>
      </w:r>
      <w:r w:rsidR="00CC6DEC" w:rsidRPr="00264D82">
        <w:rPr>
          <w:rFonts w:ascii="Times New Roman" w:hAnsi="Times New Roman"/>
          <w:sz w:val="22"/>
          <w:szCs w:val="22"/>
        </w:rPr>
        <w:t>(</w:t>
      </w:r>
      <w:r w:rsidRPr="00264D82">
        <w:rPr>
          <w:rFonts w:ascii="Times New Roman" w:hAnsi="Times New Roman"/>
          <w:sz w:val="22"/>
          <w:szCs w:val="22"/>
        </w:rPr>
        <w:t>a</w:t>
      </w:r>
      <w:r w:rsidR="00CC6DEC" w:rsidRPr="00264D82">
        <w:rPr>
          <w:rFonts w:ascii="Times New Roman" w:hAnsi="Times New Roman"/>
          <w:sz w:val="22"/>
          <w:szCs w:val="22"/>
        </w:rPr>
        <w:t>)</w:t>
      </w:r>
      <w:r w:rsidRPr="00264D82">
        <w:rPr>
          <w:rFonts w:ascii="Times New Roman" w:hAnsi="Times New Roman"/>
          <w:sz w:val="22"/>
          <w:szCs w:val="22"/>
        </w:rPr>
        <w:t xml:space="preserve"> jurídic</w:t>
      </w:r>
      <w:r w:rsidR="00CC6DEC" w:rsidRPr="00264D82">
        <w:rPr>
          <w:rFonts w:ascii="Times New Roman" w:hAnsi="Times New Roman"/>
          <w:sz w:val="22"/>
          <w:szCs w:val="22"/>
        </w:rPr>
        <w:t>o(</w:t>
      </w:r>
      <w:r w:rsidRPr="00264D82">
        <w:rPr>
          <w:rFonts w:ascii="Times New Roman" w:hAnsi="Times New Roman"/>
          <w:sz w:val="22"/>
          <w:szCs w:val="22"/>
        </w:rPr>
        <w:t>a</w:t>
      </w:r>
      <w:r w:rsidR="00CC6DEC" w:rsidRPr="00264D82">
        <w:rPr>
          <w:rFonts w:ascii="Times New Roman" w:hAnsi="Times New Roman"/>
          <w:sz w:val="22"/>
          <w:szCs w:val="22"/>
        </w:rPr>
        <w:t>)</w:t>
      </w:r>
      <w:r w:rsidRPr="00264D82">
        <w:rPr>
          <w:rFonts w:ascii="Times New Roman" w:hAnsi="Times New Roman"/>
          <w:sz w:val="22"/>
          <w:szCs w:val="22"/>
        </w:rPr>
        <w:t>;</w:t>
      </w:r>
    </w:p>
    <w:p w:rsidR="00534B33" w:rsidRPr="00264D82" w:rsidRDefault="00534B33" w:rsidP="00A72676">
      <w:pPr>
        <w:numPr>
          <w:ilvl w:val="0"/>
          <w:numId w:val="7"/>
        </w:numPr>
        <w:spacing w:before="120" w:after="120"/>
        <w:jc w:val="both"/>
        <w:rPr>
          <w:rStyle w:val="Forte"/>
          <w:rFonts w:ascii="Times New Roman" w:hAnsi="Times New Roman"/>
          <w:b w:val="0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No CAU/BR e nos CAU/UF</w:t>
      </w:r>
      <w:r w:rsidR="000B3C7D" w:rsidRPr="00264D82">
        <w:rPr>
          <w:rFonts w:ascii="Times New Roman" w:hAnsi="Times New Roman"/>
          <w:sz w:val="22"/>
          <w:szCs w:val="22"/>
        </w:rPr>
        <w:t>,</w:t>
      </w:r>
      <w:r w:rsidRPr="00264D82">
        <w:rPr>
          <w:rFonts w:ascii="Times New Roman" w:hAnsi="Times New Roman"/>
          <w:sz w:val="22"/>
          <w:szCs w:val="22"/>
        </w:rPr>
        <w:t xml:space="preserve"> o advogado chefe é </w:t>
      </w:r>
      <w:r w:rsidRPr="00264D82">
        <w:rPr>
          <w:rFonts w:ascii="Times New Roman" w:hAnsi="Times New Roman"/>
          <w:b/>
          <w:sz w:val="22"/>
          <w:szCs w:val="22"/>
        </w:rPr>
        <w:t>Assessor Jurídico</w:t>
      </w:r>
      <w:r w:rsidRPr="00264D82">
        <w:rPr>
          <w:rFonts w:ascii="Times New Roman" w:hAnsi="Times New Roman"/>
          <w:sz w:val="22"/>
          <w:szCs w:val="22"/>
        </w:rPr>
        <w:t xml:space="preserve">, não há a figura de </w:t>
      </w:r>
      <w:r w:rsidRPr="00264D82">
        <w:rPr>
          <w:rFonts w:ascii="Times New Roman" w:hAnsi="Times New Roman"/>
          <w:b/>
          <w:sz w:val="22"/>
          <w:szCs w:val="22"/>
        </w:rPr>
        <w:t>Gerente Jurídico</w:t>
      </w:r>
      <w:r w:rsidRPr="00264D82">
        <w:rPr>
          <w:rFonts w:ascii="Times New Roman" w:hAnsi="Times New Roman"/>
          <w:sz w:val="22"/>
          <w:szCs w:val="22"/>
        </w:rPr>
        <w:t>. Portanto, Assessor Jurídico e Gerente Jurídico seria</w:t>
      </w:r>
      <w:r w:rsidR="000B3C7D" w:rsidRPr="00264D82">
        <w:rPr>
          <w:rFonts w:ascii="Times New Roman" w:hAnsi="Times New Roman"/>
          <w:sz w:val="22"/>
          <w:szCs w:val="22"/>
        </w:rPr>
        <w:t>m</w:t>
      </w:r>
      <w:r w:rsidRPr="00264D82">
        <w:rPr>
          <w:rFonts w:ascii="Times New Roman" w:hAnsi="Times New Roman"/>
          <w:sz w:val="22"/>
          <w:szCs w:val="22"/>
        </w:rPr>
        <w:t xml:space="preserve"> o mesmo cargo, a mesma </w:t>
      </w:r>
      <w:proofErr w:type="gramStart"/>
      <w:r w:rsidRPr="00264D82">
        <w:rPr>
          <w:rFonts w:ascii="Times New Roman" w:hAnsi="Times New Roman"/>
          <w:sz w:val="22"/>
          <w:szCs w:val="22"/>
        </w:rPr>
        <w:t>pessoa,  e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‘[...] No dizer de Hely Lopes Meirelles, “cargo público é o lugar instituído na organização do serviço público, com denominação própria, atribuições e responsabilidades específicas e estipêndio correspondente, </w:t>
      </w:r>
      <w:r w:rsidRPr="00264D82">
        <w:rPr>
          <w:rStyle w:val="Forte"/>
          <w:rFonts w:ascii="Times New Roman" w:hAnsi="Times New Roman"/>
          <w:sz w:val="22"/>
          <w:szCs w:val="22"/>
          <w:u w:val="single"/>
        </w:rPr>
        <w:t>para ser provido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 e </w:t>
      </w:r>
      <w:r w:rsidRPr="00264D82">
        <w:rPr>
          <w:rStyle w:val="Forte"/>
          <w:rFonts w:ascii="Times New Roman" w:hAnsi="Times New Roman"/>
          <w:sz w:val="22"/>
          <w:szCs w:val="22"/>
          <w:u w:val="single"/>
        </w:rPr>
        <w:t>exercido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 </w:t>
      </w:r>
      <w:r w:rsidRPr="00264D82">
        <w:rPr>
          <w:rStyle w:val="Forte"/>
          <w:rFonts w:ascii="Times New Roman" w:hAnsi="Times New Roman"/>
          <w:sz w:val="22"/>
          <w:szCs w:val="22"/>
          <w:u w:val="single"/>
        </w:rPr>
        <w:t>por UM titular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, na forma estabelecida em lei.” </w:t>
      </w:r>
      <w:r w:rsidR="00F32ED4" w:rsidRPr="00264D82">
        <w:rPr>
          <w:rFonts w:ascii="Times New Roman" w:hAnsi="Times New Roman"/>
          <w:sz w:val="22"/>
          <w:szCs w:val="22"/>
        </w:rPr>
        <w:t>[</w:t>
      </w:r>
      <w:proofErr w:type="gramStart"/>
      <w:r w:rsidR="00F32ED4" w:rsidRPr="00264D82">
        <w:rPr>
          <w:rFonts w:ascii="Times New Roman" w:hAnsi="Times New Roman"/>
          <w:sz w:val="22"/>
          <w:szCs w:val="22"/>
        </w:rPr>
        <w:t>grifo</w:t>
      </w:r>
      <w:proofErr w:type="gramEnd"/>
      <w:r w:rsidR="00F32ED4" w:rsidRPr="00264D82">
        <w:rPr>
          <w:rFonts w:ascii="Times New Roman" w:hAnsi="Times New Roman"/>
          <w:sz w:val="22"/>
          <w:szCs w:val="22"/>
        </w:rPr>
        <w:t xml:space="preserve"> do autor deste relatório]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>. (Direito Administrativo Brasileiro – pag. 419 – Malheiros – trigésima terceira edição);</w:t>
      </w:r>
    </w:p>
    <w:p w:rsidR="00534B33" w:rsidRPr="00264D82" w:rsidRDefault="00534B33" w:rsidP="00A72676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“</w:t>
      </w:r>
      <w:r w:rsidRPr="00264D82">
        <w:rPr>
          <w:rFonts w:ascii="Times New Roman" w:hAnsi="Times New Roman"/>
          <w:b/>
          <w:sz w:val="22"/>
          <w:szCs w:val="22"/>
        </w:rPr>
        <w:t>Gerência Financeira</w:t>
      </w:r>
      <w:r w:rsidRPr="00264D82">
        <w:rPr>
          <w:rFonts w:ascii="Times New Roman" w:hAnsi="Times New Roman"/>
          <w:sz w:val="22"/>
          <w:szCs w:val="22"/>
        </w:rPr>
        <w:t xml:space="preserve">”: 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>Pela evolução dos cargos, indicados inclusive pelo CAU/BR, inicialmente o CAU/PR teve Gerência Financeira, que foi alterado na Reunião Plenária n</w:t>
      </w:r>
      <w:r w:rsidRPr="00264D82">
        <w:rPr>
          <w:rStyle w:val="Forte"/>
          <w:rFonts w:ascii="Times New Roman" w:hAnsi="Times New Roman"/>
          <w:b w:val="0"/>
          <w:sz w:val="22"/>
          <w:szCs w:val="22"/>
          <w:vertAlign w:val="superscript"/>
        </w:rPr>
        <w:t>o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 38 (12/2014) para Gerência de Orçamento e Finanças. Em 25/02/2016 (Reunião Plenária n</w:t>
      </w:r>
      <w:r w:rsidRPr="00264D82">
        <w:rPr>
          <w:rStyle w:val="Forte"/>
          <w:rFonts w:ascii="Times New Roman" w:hAnsi="Times New Roman"/>
          <w:b w:val="0"/>
          <w:sz w:val="22"/>
          <w:szCs w:val="22"/>
          <w:vertAlign w:val="superscript"/>
        </w:rPr>
        <w:t>o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 52) foi alterada para </w:t>
      </w:r>
      <w:proofErr w:type="gramStart"/>
      <w:r w:rsidRPr="00264D82">
        <w:rPr>
          <w:rStyle w:val="Forte"/>
          <w:rFonts w:ascii="Times New Roman" w:hAnsi="Times New Roman"/>
          <w:b w:val="0"/>
          <w:sz w:val="22"/>
          <w:szCs w:val="22"/>
        </w:rPr>
        <w:t>Gerência  de</w:t>
      </w:r>
      <w:proofErr w:type="gramEnd"/>
      <w:r w:rsidRPr="00264D82">
        <w:rPr>
          <w:rStyle w:val="Forte"/>
          <w:rFonts w:ascii="Times New Roman" w:hAnsi="Times New Roman"/>
          <w:b w:val="0"/>
          <w:sz w:val="22"/>
          <w:szCs w:val="22"/>
        </w:rPr>
        <w:t xml:space="preserve"> Planejamento, Orçamento e Finanças, e agora o CAU/PR retroage voltando a apresentar no organograma o cargo de </w:t>
      </w:r>
      <w:r w:rsidRPr="00264D82">
        <w:rPr>
          <w:rFonts w:ascii="Times New Roman" w:hAnsi="Times New Roman"/>
          <w:sz w:val="22"/>
          <w:szCs w:val="22"/>
        </w:rPr>
        <w:t xml:space="preserve">“Gerência Financeira”?, embora indique os Coordenadores como sendo i) Contas e Finanças; </w:t>
      </w:r>
      <w:proofErr w:type="spellStart"/>
      <w:r w:rsidRPr="00264D82">
        <w:rPr>
          <w:rFonts w:ascii="Times New Roman" w:hAnsi="Times New Roman"/>
          <w:sz w:val="22"/>
          <w:szCs w:val="22"/>
        </w:rPr>
        <w:t>ii</w:t>
      </w:r>
      <w:proofErr w:type="spellEnd"/>
      <w:r w:rsidRPr="00264D82">
        <w:rPr>
          <w:rFonts w:ascii="Times New Roman" w:hAnsi="Times New Roman"/>
          <w:sz w:val="22"/>
          <w:szCs w:val="22"/>
        </w:rPr>
        <w:t>) Planejamento e Orçamento;</w:t>
      </w:r>
    </w:p>
    <w:p w:rsidR="00534B33" w:rsidRPr="00264D82" w:rsidRDefault="00534B33" w:rsidP="00A72676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Assessoria Operacional Administrativa</w:t>
      </w:r>
      <w:r w:rsidRPr="00264D82">
        <w:rPr>
          <w:rFonts w:ascii="Times New Roman" w:hAnsi="Times New Roman"/>
          <w:sz w:val="22"/>
          <w:szCs w:val="22"/>
        </w:rPr>
        <w:t xml:space="preserve">, pode ser tudo como pode ser nada, aparece na Correlação de Cargos como acima dos Coordenadores, e abaixo dos Assessores e Gerentes, ou seja, ganha-se </w:t>
      </w:r>
      <w:proofErr w:type="gramStart"/>
      <w:r w:rsidRPr="00264D82">
        <w:rPr>
          <w:rFonts w:ascii="Times New Roman" w:hAnsi="Times New Roman"/>
          <w:sz w:val="22"/>
          <w:szCs w:val="22"/>
        </w:rPr>
        <w:t>bem</w:t>
      </w:r>
      <w:proofErr w:type="gramEnd"/>
      <w:r w:rsidRPr="00264D82">
        <w:rPr>
          <w:rFonts w:ascii="Times New Roman" w:hAnsi="Times New Roman"/>
          <w:sz w:val="22"/>
          <w:szCs w:val="22"/>
        </w:rPr>
        <w:t xml:space="preserve"> mas que pode ser nível médio, causando mais estranheza tal cargo.</w:t>
      </w:r>
    </w:p>
    <w:p w:rsidR="00CC6DEC" w:rsidRPr="00264D82" w:rsidRDefault="00CC6DEC" w:rsidP="00C52C2E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:rsidR="00CC6DEC" w:rsidRPr="00264D82" w:rsidRDefault="00CC6DEC" w:rsidP="00C52C2E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:rsidR="00534B33" w:rsidRPr="00264D82" w:rsidRDefault="000B3C7D" w:rsidP="00C52C2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Parte </w:t>
      </w:r>
      <w:r w:rsidRPr="00264D82">
        <w:rPr>
          <w:rFonts w:ascii="Times New Roman" w:hAnsi="Times New Roman"/>
          <w:sz w:val="22"/>
          <w:szCs w:val="22"/>
        </w:rPr>
        <w:t>4</w:t>
      </w:r>
      <w:r w:rsidRPr="00264D82">
        <w:rPr>
          <w:rFonts w:ascii="Times New Roman" w:hAnsi="Times New Roman"/>
          <w:sz w:val="22"/>
          <w:szCs w:val="22"/>
        </w:rPr>
        <w:t xml:space="preserve">) </w:t>
      </w:r>
      <w:r w:rsidR="00534B33" w:rsidRPr="00264D82">
        <w:rPr>
          <w:rFonts w:ascii="Times New Roman" w:hAnsi="Times New Roman"/>
          <w:b/>
          <w:sz w:val="22"/>
          <w:szCs w:val="22"/>
        </w:rPr>
        <w:t>SOBRE OS CARGOS E ORGANOGRAMAS - Histórico e Evolução</w:t>
      </w:r>
    </w:p>
    <w:p w:rsidR="00534B33" w:rsidRPr="00264D82" w:rsidRDefault="00534B33" w:rsidP="00CC6DEC">
      <w:pPr>
        <w:spacing w:before="120" w:after="120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hAnsi="Times New Roman"/>
          <w:sz w:val="22"/>
          <w:szCs w:val="22"/>
        </w:rPr>
        <w:t xml:space="preserve">Os Organogramas apresentados e aprovados pelo CAU/PR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NUNCA</w:t>
      </w:r>
      <w:r w:rsidRPr="00264D82">
        <w:rPr>
          <w:rFonts w:ascii="Times New Roman" w:hAnsi="Times New Roman"/>
          <w:sz w:val="22"/>
          <w:szCs w:val="22"/>
        </w:rPr>
        <w:t xml:space="preserve"> substituíram os cargos apresentados e aprovados nos Regimentos Internos do CAU/PR, apenas serviram como representação gráfica da estrutura hierárquica do CAU/PR, isto é, o desenho organizacional, a configuração global dos cargos e da relação entre as unidades/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>Instâncias, autoridade/subordinação no ambiente interno (Operacional e Consultiva) do CAU/PR, previsto do RI.</w:t>
      </w:r>
    </w:p>
    <w:p w:rsidR="00534B33" w:rsidRPr="00264D82" w:rsidRDefault="00534B33" w:rsidP="00CC6DEC">
      <w:pPr>
        <w:spacing w:before="120" w:after="120"/>
        <w:jc w:val="both"/>
        <w:rPr>
          <w:rStyle w:val="Forte"/>
          <w:rFonts w:ascii="Times New Roman" w:hAnsi="Times New Roman"/>
          <w:b w:val="0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Em 28 de abril de 2017, através da Resolução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139, o CAU/BR “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>Aprova o Regimento Geral do CAU e o Regimento Interno do CAU/</w:t>
      </w:r>
      <w:proofErr w:type="gramStart"/>
      <w:r w:rsidRPr="00264D82">
        <w:rPr>
          <w:rStyle w:val="Forte"/>
          <w:rFonts w:ascii="Times New Roman" w:hAnsi="Times New Roman"/>
          <w:b w:val="0"/>
          <w:sz w:val="22"/>
          <w:szCs w:val="22"/>
        </w:rPr>
        <w:t>BR,...</w:t>
      </w:r>
      <w:proofErr w:type="gramEnd"/>
      <w:r w:rsidRPr="00264D82">
        <w:rPr>
          <w:rStyle w:val="Forte"/>
          <w:rFonts w:ascii="Times New Roman" w:hAnsi="Times New Roman"/>
          <w:b w:val="0"/>
          <w:sz w:val="22"/>
          <w:szCs w:val="22"/>
        </w:rPr>
        <w:t>”, que entre outros determina:</w:t>
      </w:r>
    </w:p>
    <w:p w:rsidR="00534B33" w:rsidRPr="00264D82" w:rsidRDefault="00534B33" w:rsidP="00CC6DEC">
      <w:pPr>
        <w:widowControl/>
        <w:suppressAutoHyphens w:val="0"/>
        <w:ind w:left="708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hAnsi="Times New Roman"/>
          <w:sz w:val="22"/>
          <w:szCs w:val="22"/>
        </w:rPr>
        <w:t xml:space="preserve">Art. 4°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Os CAU/UF</w:t>
      </w:r>
      <w:r w:rsidRPr="00264D82">
        <w:rPr>
          <w:rFonts w:ascii="Times New Roman" w:hAnsi="Times New Roman"/>
          <w:sz w:val="22"/>
          <w:szCs w:val="22"/>
        </w:rPr>
        <w:t xml:space="preserve">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deverão</w:t>
      </w:r>
      <w:r w:rsidRPr="00264D82">
        <w:rPr>
          <w:rFonts w:ascii="Times New Roman" w:hAnsi="Times New Roman"/>
          <w:sz w:val="22"/>
          <w:szCs w:val="22"/>
        </w:rPr>
        <w:t xml:space="preserve">, no prazo de 180 (cento e oitenta) dias a contar da publicação desta Resolução,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adequar e aprovar seus regimentos internos</w:t>
      </w:r>
      <w:r w:rsidRPr="00264D82">
        <w:rPr>
          <w:rFonts w:ascii="Times New Roman" w:hAnsi="Times New Roman"/>
          <w:sz w:val="22"/>
          <w:szCs w:val="22"/>
        </w:rPr>
        <w:t xml:space="preserve">, em seus plenários,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atendendo ao modelo aprovado pelo Regimento Geral do CAU</w:t>
      </w:r>
      <w:r w:rsidRPr="00264D82">
        <w:rPr>
          <w:rFonts w:ascii="Times New Roman" w:hAnsi="Times New Roman"/>
          <w:sz w:val="22"/>
          <w:szCs w:val="22"/>
        </w:rPr>
        <w:t>.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</w:t>
      </w:r>
      <w:r w:rsidR="00F32ED4" w:rsidRPr="00264D82">
        <w:rPr>
          <w:rFonts w:ascii="Times New Roman" w:hAnsi="Times New Roman"/>
          <w:sz w:val="22"/>
          <w:szCs w:val="22"/>
        </w:rPr>
        <w:t>[</w:t>
      </w:r>
      <w:proofErr w:type="gramStart"/>
      <w:r w:rsidR="00F32ED4" w:rsidRPr="00264D82">
        <w:rPr>
          <w:rFonts w:ascii="Times New Roman" w:hAnsi="Times New Roman"/>
          <w:sz w:val="22"/>
          <w:szCs w:val="22"/>
        </w:rPr>
        <w:t>grifo</w:t>
      </w:r>
      <w:proofErr w:type="gramEnd"/>
      <w:r w:rsidR="00F32ED4" w:rsidRPr="00264D82">
        <w:rPr>
          <w:rFonts w:ascii="Times New Roman" w:hAnsi="Times New Roman"/>
          <w:sz w:val="22"/>
          <w:szCs w:val="22"/>
        </w:rPr>
        <w:t xml:space="preserve"> do autor deste relatório]</w:t>
      </w:r>
    </w:p>
    <w:p w:rsidR="00534B33" w:rsidRPr="00264D82" w:rsidRDefault="00534B33" w:rsidP="00A72676">
      <w:pPr>
        <w:widowControl/>
        <w:suppressAutoHyphens w:val="0"/>
        <w:ind w:left="1134"/>
        <w:jc w:val="both"/>
        <w:rPr>
          <w:rFonts w:ascii="Times New Roman" w:eastAsia="Cambria" w:hAnsi="Times New Roman"/>
          <w:sz w:val="22"/>
          <w:szCs w:val="22"/>
          <w:lang w:eastAsia="en-US"/>
        </w:rPr>
      </w:pPr>
    </w:p>
    <w:p w:rsidR="00534B33" w:rsidRPr="00264D82" w:rsidRDefault="00534B33" w:rsidP="00CC6DEC">
      <w:pPr>
        <w:spacing w:before="120" w:after="120"/>
        <w:jc w:val="both"/>
        <w:rPr>
          <w:rStyle w:val="Forte"/>
          <w:rFonts w:ascii="Times New Roman" w:hAnsi="Times New Roman"/>
          <w:b w:val="0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lastRenderedPageBreak/>
        <w:t>O Anexo I da Resolução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139, que é o Regimento Geral do CAU, </w:t>
      </w:r>
      <w:r w:rsidRPr="00264D82">
        <w:rPr>
          <w:rStyle w:val="Forte"/>
          <w:rFonts w:ascii="Times New Roman" w:hAnsi="Times New Roman"/>
          <w:b w:val="0"/>
          <w:sz w:val="22"/>
          <w:szCs w:val="22"/>
        </w:rPr>
        <w:t>determina:</w:t>
      </w:r>
    </w:p>
    <w:p w:rsidR="00534B33" w:rsidRPr="00264D82" w:rsidRDefault="00534B33" w:rsidP="00CC6DEC">
      <w:pPr>
        <w:widowControl/>
        <w:suppressAutoHyphens w:val="0"/>
        <w:ind w:left="708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hAnsi="Times New Roman"/>
          <w:sz w:val="22"/>
          <w:szCs w:val="22"/>
        </w:rPr>
        <w:t xml:space="preserve">Art. 8°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Para a execução de suas ações</w:t>
      </w:r>
      <w:r w:rsidRPr="00264D82">
        <w:rPr>
          <w:rFonts w:ascii="Times New Roman" w:hAnsi="Times New Roman"/>
          <w:sz w:val="22"/>
          <w:szCs w:val="22"/>
        </w:rPr>
        <w:t xml:space="preserve">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os CAU/UF</w:t>
      </w:r>
      <w:r w:rsidRPr="00264D82">
        <w:rPr>
          <w:rFonts w:ascii="Times New Roman" w:hAnsi="Times New Roman"/>
          <w:sz w:val="22"/>
          <w:szCs w:val="22"/>
        </w:rPr>
        <w:t xml:space="preserve"> e o CAU/BR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serão estruturados em unidades organizacionais</w:t>
      </w:r>
      <w:r w:rsidRPr="00264D82">
        <w:rPr>
          <w:rFonts w:ascii="Times New Roman" w:hAnsi="Times New Roman"/>
          <w:sz w:val="22"/>
          <w:szCs w:val="22"/>
        </w:rPr>
        <w:t xml:space="preserve"> responsáveis pelos serviços administrativos, financeiros, técnicos, jurídicos e de comunicação, respeitadas as disposições do Regimento Geral do CAU e dos regimentos internos do CAU/BR e dos CAU/UF,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na forma de anexo</w:t>
      </w:r>
      <w:r w:rsidRPr="00264D82">
        <w:rPr>
          <w:rFonts w:ascii="Times New Roman" w:hAnsi="Times New Roman"/>
          <w:sz w:val="22"/>
          <w:szCs w:val="22"/>
        </w:rPr>
        <w:t xml:space="preserve">, </w:t>
      </w:r>
      <w:r w:rsidRPr="00264D82">
        <w:rPr>
          <w:rFonts w:ascii="Times New Roman" w:hAnsi="Times New Roman"/>
          <w:b/>
          <w:sz w:val="22"/>
          <w:szCs w:val="22"/>
          <w:u w:val="single"/>
        </w:rPr>
        <w:t>contendo organograma</w:t>
      </w:r>
      <w:r w:rsidRPr="00264D82">
        <w:rPr>
          <w:rFonts w:ascii="Times New Roman" w:hAnsi="Times New Roman"/>
          <w:sz w:val="22"/>
          <w:szCs w:val="22"/>
        </w:rPr>
        <w:t>.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</w:t>
      </w:r>
      <w:r w:rsidR="00F32ED4" w:rsidRPr="00264D82">
        <w:rPr>
          <w:rFonts w:ascii="Times New Roman" w:hAnsi="Times New Roman"/>
          <w:sz w:val="22"/>
          <w:szCs w:val="22"/>
        </w:rPr>
        <w:t>[</w:t>
      </w:r>
      <w:proofErr w:type="gramStart"/>
      <w:r w:rsidR="00F32ED4" w:rsidRPr="00264D82">
        <w:rPr>
          <w:rFonts w:ascii="Times New Roman" w:hAnsi="Times New Roman"/>
          <w:sz w:val="22"/>
          <w:szCs w:val="22"/>
        </w:rPr>
        <w:t>grifo</w:t>
      </w:r>
      <w:proofErr w:type="gramEnd"/>
      <w:r w:rsidR="00F32ED4" w:rsidRPr="00264D82">
        <w:rPr>
          <w:rFonts w:ascii="Times New Roman" w:hAnsi="Times New Roman"/>
          <w:sz w:val="22"/>
          <w:szCs w:val="22"/>
        </w:rPr>
        <w:t xml:space="preserve"> do autor deste relatório]</w:t>
      </w:r>
    </w:p>
    <w:p w:rsidR="00534B33" w:rsidRPr="00264D82" w:rsidRDefault="00534B33" w:rsidP="00A72676">
      <w:pPr>
        <w:widowControl/>
        <w:suppressAutoHyphens w:val="0"/>
        <w:ind w:left="1134"/>
        <w:jc w:val="both"/>
        <w:rPr>
          <w:rFonts w:ascii="Times New Roman" w:eastAsia="Cambria" w:hAnsi="Times New Roman"/>
          <w:sz w:val="22"/>
          <w:szCs w:val="22"/>
          <w:lang w:eastAsia="en-US"/>
        </w:rPr>
      </w:pPr>
    </w:p>
    <w:p w:rsidR="00534B33" w:rsidRPr="00264D82" w:rsidRDefault="00534B33" w:rsidP="00CC6DE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Ou seja, somente a partir da Resolução do CAU/BR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139/17, é que os novos Regimentos Internos deveriam/deverão apresentar os cargos, “na forma de anexo”, “contendo organograma”.</w:t>
      </w:r>
    </w:p>
    <w:p w:rsidR="00534B33" w:rsidRPr="00264D82" w:rsidRDefault="00534B33" w:rsidP="00CC6DE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Depois desta determinação do CAU/BR, somente em dezembro de 2017, o CAU/PR aprovou Regimento Interno, e a época, sem o anexo, logo, prevalece os cargos quando do último organograma aprovado pelo CAU/PR, porém, até a data desta, o Regimento Interno do CAU/PR é que determinava os cargos funcionais e não os organogramas. Considerando que organograma é uma representação gráfica da estrutura hierárquica, no que o organograma fosse diferente e não discutido/aprovado em plenária, não tem valor normativo.</w:t>
      </w:r>
    </w:p>
    <w:p w:rsidR="00534B33" w:rsidRPr="00264D82" w:rsidRDefault="00534B33" w:rsidP="00A72676">
      <w:pPr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34B33" w:rsidRPr="00264D82" w:rsidRDefault="00534B33" w:rsidP="00CC6DE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 Deliberação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02, de 09 de janeiro de 2012, alterou o Regimento Interno do CAU/PR, entre outro, no que segue:</w:t>
      </w:r>
    </w:p>
    <w:p w:rsidR="00534B33" w:rsidRPr="00264D82" w:rsidRDefault="00534B33" w:rsidP="00CC6DEC">
      <w:pPr>
        <w:widowControl/>
        <w:suppressAutoHyphens w:val="0"/>
        <w:ind w:left="708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eastAsia="Cambria" w:hAnsi="Times New Roman"/>
          <w:sz w:val="22"/>
          <w:szCs w:val="22"/>
          <w:lang w:eastAsia="en-US"/>
        </w:rPr>
        <w:t>Art. 18. A Instância Operacional e Consultiva, de caráter administrativo do CAU/PR, será contratada por livre provimento e demissão do presidente e passa a ser a seguinte:</w:t>
      </w:r>
    </w:p>
    <w:p w:rsidR="00534B33" w:rsidRPr="00264D82" w:rsidRDefault="00534B33" w:rsidP="00CC6DEC">
      <w:pPr>
        <w:widowControl/>
        <w:suppressAutoHyphens w:val="0"/>
        <w:ind w:left="708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eastAsia="Cambria" w:hAnsi="Times New Roman"/>
          <w:sz w:val="22"/>
          <w:szCs w:val="22"/>
          <w:lang w:eastAsia="en-US"/>
        </w:rPr>
        <w:t>...</w:t>
      </w:r>
    </w:p>
    <w:p w:rsidR="00534B33" w:rsidRPr="00264D82" w:rsidRDefault="00534B33" w:rsidP="00CC6DEC">
      <w:pPr>
        <w:widowControl/>
        <w:suppressAutoHyphens w:val="0"/>
        <w:ind w:left="1416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§ 2° A estrutura operacional do CAU/PR ficará sob a responsabilidade de um Diretor Geral, ao qual ficarão vinculadas as seguintes áreas operacionais: a)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Secretaria Geral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; b)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Gerências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Técnica, Administrativa e Financeira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>.</w:t>
      </w:r>
    </w:p>
    <w:p w:rsidR="00534B33" w:rsidRPr="00264D82" w:rsidRDefault="00534B33" w:rsidP="00CC6DEC">
      <w:pPr>
        <w:widowControl/>
        <w:suppressAutoHyphens w:val="0"/>
        <w:ind w:left="1416"/>
        <w:jc w:val="both"/>
        <w:rPr>
          <w:rFonts w:ascii="Times New Roman" w:eastAsia="Cambria" w:hAnsi="Times New Roman"/>
          <w:sz w:val="22"/>
          <w:szCs w:val="22"/>
          <w:lang w:eastAsia="en-US"/>
        </w:rPr>
      </w:pP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§ 3°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As Assessorias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Jurídica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,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de Comunicação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e de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Planejamento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,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a Auditoria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 xml:space="preserve"> e a </w:t>
      </w:r>
      <w:r w:rsidRPr="00264D82">
        <w:rPr>
          <w:rFonts w:ascii="Times New Roman" w:eastAsia="Cambria" w:hAnsi="Times New Roman"/>
          <w:b/>
          <w:sz w:val="22"/>
          <w:szCs w:val="22"/>
          <w:u w:val="single"/>
          <w:lang w:eastAsia="en-US"/>
        </w:rPr>
        <w:t>Ouvidoria Geral</w:t>
      </w:r>
      <w:r w:rsidRPr="00264D82">
        <w:rPr>
          <w:rFonts w:ascii="Times New Roman" w:eastAsia="Cambria" w:hAnsi="Times New Roman"/>
          <w:sz w:val="22"/>
          <w:szCs w:val="22"/>
          <w:lang w:eastAsia="en-US"/>
        </w:rPr>
        <w:t>, integrantes da estrutura do CAU/PR e vinculadas à Presidência, são órgãos de suporte e apoio técnico ao Plenário, à Presidência e às Instâncias Operacionais, estando subordinadas administrativamente à Direção Geral.</w:t>
      </w:r>
    </w:p>
    <w:p w:rsidR="00534B33" w:rsidRPr="00264D82" w:rsidRDefault="00534B33" w:rsidP="00A72676">
      <w:pPr>
        <w:widowControl/>
        <w:suppressAutoHyphens w:val="0"/>
        <w:ind w:left="1134"/>
        <w:jc w:val="both"/>
        <w:rPr>
          <w:rFonts w:ascii="Times New Roman" w:eastAsia="Cambria" w:hAnsi="Times New Roman"/>
          <w:sz w:val="22"/>
          <w:szCs w:val="22"/>
          <w:lang w:eastAsia="en-US"/>
        </w:rPr>
      </w:pPr>
    </w:p>
    <w:p w:rsidR="00534B33" w:rsidRPr="00264D82" w:rsidRDefault="00534B33" w:rsidP="00CC6DE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A Deliberação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16, de 14 de abril de 2014, aprovou novo Regimento Interno para o CAU/PR, e em 20 de dezembro de 2014, pela Deliberação n</w:t>
      </w:r>
      <w:r w:rsidRPr="00264D82">
        <w:rPr>
          <w:rFonts w:ascii="Times New Roman" w:hAnsi="Times New Roman"/>
          <w:sz w:val="22"/>
          <w:szCs w:val="22"/>
          <w:vertAlign w:val="superscript"/>
        </w:rPr>
        <w:t>o</w:t>
      </w:r>
      <w:r w:rsidRPr="00264D82">
        <w:rPr>
          <w:rFonts w:ascii="Times New Roman" w:hAnsi="Times New Roman"/>
          <w:sz w:val="22"/>
          <w:szCs w:val="22"/>
        </w:rPr>
        <w:t xml:space="preserve"> 20, passou a conter os seguintes cargos, com destaques para as modificações entre elas, conforme seguem: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91"/>
        <w:gridCol w:w="4388"/>
      </w:tblGrid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 xml:space="preserve">Regimento Interno 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>aprovado pela</w:t>
            </w: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 xml:space="preserve"> Deliberação n° 016,</w:t>
            </w:r>
          </w:p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aprovado em 14/04/2014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Deliberação n° 020,</w:t>
            </w:r>
          </w:p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D82">
              <w:rPr>
                <w:rFonts w:ascii="Times New Roman" w:hAnsi="Times New Roman"/>
                <w:sz w:val="22"/>
                <w:szCs w:val="22"/>
              </w:rPr>
              <w:t>aprovado</w:t>
            </w:r>
            <w:proofErr w:type="gramEnd"/>
            <w:r w:rsidRPr="00264D82">
              <w:rPr>
                <w:rFonts w:ascii="Times New Roman" w:hAnsi="Times New Roman"/>
                <w:sz w:val="22"/>
                <w:szCs w:val="22"/>
              </w:rPr>
              <w:t xml:space="preserve"> em 20/12/2014, que alterou a </w:t>
            </w: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Deliberação n° 016,</w:t>
            </w:r>
          </w:p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aprovado em 14/04/2014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Art. 6°.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 unidades organizacionais do CAU/PR são: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Art. 6°.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 unidades organizacionais do CAU/PR são: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Gerência Geral;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Geral;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Secretaria Geral, com secretarias de apoio às comissões e aos órgãos colegiados;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Secretaria Geral, com secretarias de apoio às comissões e órgãos colegiados;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Gerências Técnica, Administrativa e Financeira;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III-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Administrativa;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VI-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de Orçamento e Finanças;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VII-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Técnica;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Auditoria;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VIII-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Auditoria;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Ouvidoria;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IX-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Ouvidoria;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Assessoria Especial da Presidência;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Especial da Presidência;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Assessoria Técnica;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Regional/Técnica;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lastRenderedPageBreak/>
              <w:t>Assessoria Jurídica;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Jurídica;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Assessoria de Relacionamento Institucional e Parlamentar;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XIII-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de Relação Institucional e Parlamentar;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Assessoria de Planejamento; e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XIV-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de Planejamento e Gestão da estratégia;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2"/>
              </w:numPr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Assessoria de Comunicação.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XV-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Assessoria de Imprensa e Comunicação; e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IV-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de Atendimento;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V-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Gerência de Fiscalização;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XVI-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Coordenadores e Coordenadores Adjuntos Administrativos, de Atendimento, de Comunicação, Financeiro, de Fiscalização, Jurídico, de Planejamento e Técnico.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1°.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Secretaria Geral e as Gerências Técnica, Administrativa e Financeira ficarão vinculadas e subordinadas à Gerência Geral.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1°.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Secretaria Geral e as Gerências Administrativa, de Atendimento, de Fiscalização, de Orçamento e Finanças e Técnica ficarão vinculadas e subordinadas à Gerência Geral.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2°.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Auditoria e as Assessorias Especial da Presidência, Técnica, Jurídica, de Relacionamento Institucional e Parlamentar, de Planejamento, de Comunicação ficarão vinculadas à Presidência.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2°.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Auditoria e as Assessorias Especial da Presidência, Técnica, Jurídica, de Relacionamento Institucional e Parlamentar, de Planejamento, de Comunicação ficarão vinculadas à Presidência.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3°.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Ouvidoria Geral, a ser instituída sob a forma de organismo vinculado diretamente à Presidência, atenderá ao seguinte: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3°.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A Ouvidoria Geral, a ser instituída sob a forma de organismo vinculado diretamente à Presidência, atenderá ao seguinte: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1"/>
              </w:numPr>
              <w:tabs>
                <w:tab w:val="clear" w:pos="1021"/>
                <w:tab w:val="num" w:pos="567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será instância consultiva;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3"/>
              </w:numPr>
              <w:tabs>
                <w:tab w:val="clear" w:pos="1021"/>
                <w:tab w:val="num" w:pos="605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será instância consultiva;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1"/>
              </w:numPr>
              <w:tabs>
                <w:tab w:val="clear" w:pos="1021"/>
                <w:tab w:val="num" w:pos="567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deverá ter como responsável um arquiteto e urbanista;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3"/>
              </w:numPr>
              <w:tabs>
                <w:tab w:val="clear" w:pos="1021"/>
                <w:tab w:val="num" w:pos="605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deverá ter como responsável um arquiteto e urbanista;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1"/>
              </w:numPr>
              <w:tabs>
                <w:tab w:val="clear" w:pos="1021"/>
                <w:tab w:val="num" w:pos="567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terá papel de controle social do CAU, sendo um meio para que a sociedade tenha uma forma de relacionamento com o Conselho; e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3"/>
              </w:numPr>
              <w:tabs>
                <w:tab w:val="clear" w:pos="1021"/>
                <w:tab w:val="num" w:pos="605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terá papel de controle social do CAU, sendo um meio para que a sociedade tenha uma forma de relacionamento com o Conselho; e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1"/>
              </w:numPr>
              <w:tabs>
                <w:tab w:val="clear" w:pos="1021"/>
                <w:tab w:val="num" w:pos="567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será instituída pelo Plenário do CAU/PR.</w:t>
            </w: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numPr>
                <w:ilvl w:val="0"/>
                <w:numId w:val="3"/>
              </w:numPr>
              <w:tabs>
                <w:tab w:val="clear" w:pos="1021"/>
                <w:tab w:val="num" w:pos="605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sz w:val="22"/>
                <w:szCs w:val="22"/>
              </w:rPr>
              <w:t>será instituída pelo Plenário do CAU/PR.</w:t>
            </w:r>
          </w:p>
        </w:tc>
      </w:tr>
      <w:tr w:rsidR="00264D82" w:rsidRPr="00264D82" w:rsidTr="0003145D">
        <w:tc>
          <w:tcPr>
            <w:tcW w:w="4640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534B33" w:rsidRPr="00264D82" w:rsidRDefault="00534B33" w:rsidP="00A72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D82">
              <w:rPr>
                <w:rFonts w:ascii="Times New Roman" w:hAnsi="Times New Roman"/>
                <w:b/>
                <w:sz w:val="22"/>
                <w:szCs w:val="22"/>
              </w:rPr>
              <w:t>§ 4°.</w:t>
            </w:r>
            <w:r w:rsidRPr="00264D82">
              <w:rPr>
                <w:rFonts w:ascii="Times New Roman" w:hAnsi="Times New Roman"/>
                <w:sz w:val="22"/>
                <w:szCs w:val="22"/>
              </w:rPr>
              <w:t xml:space="preserve"> O(A)s Coordenadores ficarão vinculados e subordinados ao respectivos Assessores ou Gerentes.</w:t>
            </w:r>
          </w:p>
        </w:tc>
      </w:tr>
    </w:tbl>
    <w:p w:rsidR="00534B33" w:rsidRPr="00264D82" w:rsidRDefault="00534B33" w:rsidP="00A7267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>VOTO DO RELATOR EM RELAÇÃO AO PROJETO ANALISADO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Por tudo o que foi relatado, conclui-se que a proposta apresentada acumula problemas.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1) falta-lhe uma definição precisa do escopo do organograma/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2) “equivoca-se” ao embutir uma equiparação salarial a outros </w:t>
      </w:r>
      <w:proofErr w:type="spellStart"/>
      <w:r w:rsidRPr="00264D82">
        <w:rPr>
          <w:rFonts w:ascii="Times New Roman" w:hAnsi="Times New Roman"/>
          <w:sz w:val="22"/>
          <w:szCs w:val="22"/>
        </w:rPr>
        <w:t>CAU`s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, “esquecendo-se” que são outros </w:t>
      </w:r>
      <w:proofErr w:type="spellStart"/>
      <w:r w:rsidRPr="00264D82">
        <w:rPr>
          <w:rFonts w:ascii="Times New Roman" w:hAnsi="Times New Roman"/>
          <w:sz w:val="22"/>
          <w:szCs w:val="22"/>
        </w:rPr>
        <w:t>CNPJ’s</w:t>
      </w:r>
      <w:proofErr w:type="spellEnd"/>
      <w:r w:rsidRPr="00264D82">
        <w:rPr>
          <w:rFonts w:ascii="Times New Roman" w:hAnsi="Times New Roman"/>
          <w:sz w:val="22"/>
          <w:szCs w:val="22"/>
        </w:rPr>
        <w:t xml:space="preserve"> e outros concursos públicos;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3) apresenta vício de origem;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4) apresenta e abrangências imprecisas de assessorias e gerências;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5) não apresenta relatórios detalhados e estudos de impacto financeiro das propostas no caso de se aprovar os salários apresentadas;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6) parece pressupor uma ampliação das funções gratificadas;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 xml:space="preserve">7) sobrepõe funções e cargos;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lastRenderedPageBreak/>
        <w:t xml:space="preserve">8) mistura assuntos diversos (organograma e planos de cargos e salários) 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4D82">
        <w:rPr>
          <w:rFonts w:ascii="Times New Roman" w:hAnsi="Times New Roman"/>
          <w:sz w:val="22"/>
          <w:szCs w:val="22"/>
        </w:rPr>
        <w:t>9) abre a possibilidade de contestações na justiça do trabalho.</w:t>
      </w: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0942DF" w:rsidRPr="00264D82" w:rsidRDefault="000942DF" w:rsidP="000942DF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264D82">
        <w:rPr>
          <w:rFonts w:ascii="Times New Roman" w:hAnsi="Times New Roman"/>
          <w:b/>
          <w:sz w:val="22"/>
          <w:szCs w:val="22"/>
        </w:rPr>
        <w:t xml:space="preserve">Diante de tantos e tão grandes problemas, o voto do relator é pela recusa da proposta apresentada. </w:t>
      </w:r>
      <w:r w:rsidR="00264D82" w:rsidRPr="00264D82">
        <w:rPr>
          <w:rFonts w:ascii="Times New Roman" w:hAnsi="Times New Roman"/>
          <w:b/>
          <w:sz w:val="22"/>
          <w:szCs w:val="22"/>
        </w:rPr>
        <w:t>OU SEJA: VOTO CONTRÁRIO AO ORGANOGRAMA PROPOSTO.</w:t>
      </w:r>
      <w:bookmarkStart w:id="0" w:name="_GoBack"/>
      <w:bookmarkEnd w:id="0"/>
    </w:p>
    <w:sectPr w:rsidR="000942DF" w:rsidRPr="00264D82" w:rsidSect="00EC7249">
      <w:headerReference w:type="even" r:id="rId8"/>
      <w:pgSz w:w="11900" w:h="16840"/>
      <w:pgMar w:top="1701" w:right="1410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F" w:rsidRDefault="004E030F" w:rsidP="00B158BA">
      <w:r>
        <w:separator/>
      </w:r>
    </w:p>
  </w:endnote>
  <w:endnote w:type="continuationSeparator" w:id="0">
    <w:p w:rsidR="004E030F" w:rsidRDefault="004E030F" w:rsidP="00B1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F" w:rsidRDefault="004E030F" w:rsidP="00B158BA">
      <w:r>
        <w:separator/>
      </w:r>
    </w:p>
  </w:footnote>
  <w:footnote w:type="continuationSeparator" w:id="0">
    <w:p w:rsidR="004E030F" w:rsidRDefault="004E030F" w:rsidP="00B1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49" w:rsidRDefault="004E030F" w:rsidP="00EC72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249" w:rsidRDefault="004E030F" w:rsidP="00EC724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6B3"/>
    <w:multiLevelType w:val="hybridMultilevel"/>
    <w:tmpl w:val="F8FC7FC0"/>
    <w:lvl w:ilvl="0" w:tplc="537C30CC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E5E61"/>
    <w:multiLevelType w:val="hybridMultilevel"/>
    <w:tmpl w:val="38C6680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9A4"/>
    <w:multiLevelType w:val="hybridMultilevel"/>
    <w:tmpl w:val="73EC9A32"/>
    <w:lvl w:ilvl="0" w:tplc="1742C1B6">
      <w:start w:val="1"/>
      <w:numFmt w:val="upperRoman"/>
      <w:lvlText w:val="%1 - "/>
      <w:lvlJc w:val="left"/>
      <w:pPr>
        <w:tabs>
          <w:tab w:val="num" w:pos="1021"/>
        </w:tabs>
        <w:ind w:left="0" w:firstLine="5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0613AAC"/>
    <w:multiLevelType w:val="multilevel"/>
    <w:tmpl w:val="CBFAF4D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5125FEE"/>
    <w:multiLevelType w:val="hybridMultilevel"/>
    <w:tmpl w:val="73EC9A32"/>
    <w:lvl w:ilvl="0" w:tplc="1742C1B6">
      <w:start w:val="1"/>
      <w:numFmt w:val="upperRoman"/>
      <w:lvlText w:val="%1 - "/>
      <w:lvlJc w:val="left"/>
      <w:pPr>
        <w:tabs>
          <w:tab w:val="num" w:pos="1021"/>
        </w:tabs>
        <w:ind w:left="0" w:firstLine="5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AC03B83"/>
    <w:multiLevelType w:val="hybridMultilevel"/>
    <w:tmpl w:val="5F7EBD44"/>
    <w:lvl w:ilvl="0" w:tplc="CFB4E658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5C2673C2"/>
    <w:multiLevelType w:val="hybridMultilevel"/>
    <w:tmpl w:val="145A1066"/>
    <w:lvl w:ilvl="0" w:tplc="CBF4EE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13A76"/>
    <w:multiLevelType w:val="hybridMultilevel"/>
    <w:tmpl w:val="F4C85A28"/>
    <w:lvl w:ilvl="0" w:tplc="35684F56">
      <w:start w:val="1"/>
      <w:numFmt w:val="upperRoman"/>
      <w:lvlText w:val="%1 - "/>
      <w:lvlJc w:val="left"/>
      <w:pPr>
        <w:tabs>
          <w:tab w:val="num" w:pos="1021"/>
        </w:tabs>
        <w:ind w:left="0" w:firstLine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2CE4CF2"/>
    <w:multiLevelType w:val="hybridMultilevel"/>
    <w:tmpl w:val="06E8323A"/>
    <w:lvl w:ilvl="0" w:tplc="6C625E1E">
      <w:start w:val="1"/>
      <w:numFmt w:val="lowerLetter"/>
      <w:lvlText w:val="%1)"/>
      <w:lvlJc w:val="left"/>
      <w:pPr>
        <w:ind w:left="3152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3"/>
    <w:rsid w:val="00033C0C"/>
    <w:rsid w:val="00065A53"/>
    <w:rsid w:val="000942DF"/>
    <w:rsid w:val="000B3C7D"/>
    <w:rsid w:val="00264D82"/>
    <w:rsid w:val="003611A5"/>
    <w:rsid w:val="004E030F"/>
    <w:rsid w:val="00534B33"/>
    <w:rsid w:val="008E37D8"/>
    <w:rsid w:val="009A1D5A"/>
    <w:rsid w:val="00A61E05"/>
    <w:rsid w:val="00A72676"/>
    <w:rsid w:val="00B158BA"/>
    <w:rsid w:val="00BA5A38"/>
    <w:rsid w:val="00BC1324"/>
    <w:rsid w:val="00BC3823"/>
    <w:rsid w:val="00BD4C3C"/>
    <w:rsid w:val="00C52C2E"/>
    <w:rsid w:val="00CC6DEC"/>
    <w:rsid w:val="00D94E54"/>
    <w:rsid w:val="00F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4C1"/>
  <w15:chartTrackingRefBased/>
  <w15:docId w15:val="{F7B63EEF-588E-4CE0-84CE-4B122A7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33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4B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34B33"/>
    <w:rPr>
      <w:rFonts w:ascii="Cambria" w:eastAsia="MS Mincho" w:hAnsi="Cambria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34B33"/>
    <w:rPr>
      <w:b/>
    </w:rPr>
  </w:style>
  <w:style w:type="character" w:styleId="Nmerodepgina">
    <w:name w:val="page number"/>
    <w:basedOn w:val="Fontepargpadro"/>
    <w:rsid w:val="00534B33"/>
  </w:style>
  <w:style w:type="paragraph" w:styleId="Ttulo">
    <w:name w:val="Title"/>
    <w:basedOn w:val="Normal"/>
    <w:link w:val="TtuloChar"/>
    <w:qFormat/>
    <w:rsid w:val="00534B33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534B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8BA"/>
    <w:rPr>
      <w:rFonts w:ascii="Cambria" w:eastAsia="MS Mincho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7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61FB-1381-4936-AFF5-820F562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3615</Words>
  <Characters>19523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2019-04-04T18:13:00Z</dcterms:created>
  <dcterms:modified xsi:type="dcterms:W3CDTF">2019-04-04T18:14:00Z</dcterms:modified>
</cp:coreProperties>
</file>