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53" w:rsidRPr="00CF58D7" w:rsidRDefault="00DA7CB8" w:rsidP="00315253">
      <w:pPr>
        <w:jc w:val="center"/>
        <w:rPr>
          <w:b/>
          <w:bCs/>
          <w:lang w:val="pt-BR" w:eastAsia="x-none"/>
        </w:rPr>
      </w:pPr>
      <w:r>
        <w:rPr>
          <w:b/>
          <w:bCs/>
          <w:lang w:val="pt-BR" w:eastAsia="x-none"/>
        </w:rPr>
        <w:t>ANEXO XIII</w:t>
      </w:r>
    </w:p>
    <w:p w:rsidR="00315253" w:rsidRPr="00CF58D7" w:rsidRDefault="00315253" w:rsidP="00315253">
      <w:pPr>
        <w:jc w:val="center"/>
        <w:rPr>
          <w:b/>
          <w:lang w:val="pt-BR"/>
        </w:rPr>
      </w:pPr>
    </w:p>
    <w:p w:rsidR="0062599C" w:rsidRDefault="0062599C" w:rsidP="0062599C">
      <w:pPr>
        <w:spacing w:before="120"/>
        <w:jc w:val="center"/>
        <w:rPr>
          <w:rFonts w:eastAsia="Calibri"/>
          <w:b/>
          <w:color w:val="000000"/>
          <w:sz w:val="22"/>
          <w:szCs w:val="22"/>
          <w:lang w:val="pt-BR" w:eastAsia="pt-BR"/>
        </w:rPr>
      </w:pPr>
      <w:r w:rsidRPr="0062599C">
        <w:rPr>
          <w:rFonts w:eastAsia="Calibri"/>
          <w:b/>
          <w:color w:val="000000"/>
          <w:sz w:val="22"/>
          <w:szCs w:val="22"/>
          <w:lang w:val="pt-BR" w:eastAsia="pt-BR"/>
        </w:rPr>
        <w:t>EDITAL DE</w:t>
      </w:r>
      <w:r>
        <w:rPr>
          <w:rFonts w:eastAsia="Calibri"/>
          <w:b/>
          <w:color w:val="000000"/>
          <w:sz w:val="22"/>
          <w:szCs w:val="22"/>
          <w:lang w:val="pt-BR" w:eastAsia="pt-BR"/>
        </w:rPr>
        <w:t xml:space="preserve"> CHAMAMENTO PÚBLICO Nº 001/2019</w:t>
      </w:r>
    </w:p>
    <w:p w:rsidR="0062599C" w:rsidRDefault="0062599C" w:rsidP="0062599C">
      <w:pPr>
        <w:spacing w:before="120"/>
        <w:jc w:val="center"/>
        <w:rPr>
          <w:rFonts w:eastAsia="Calibri"/>
          <w:b/>
          <w:color w:val="000000"/>
          <w:sz w:val="22"/>
          <w:szCs w:val="22"/>
          <w:lang w:val="pt-BR" w:eastAsia="pt-BR"/>
        </w:rPr>
      </w:pPr>
      <w:r w:rsidRPr="0062599C">
        <w:rPr>
          <w:rFonts w:eastAsia="Calibri"/>
          <w:b/>
          <w:color w:val="000000"/>
          <w:sz w:val="22"/>
          <w:szCs w:val="22"/>
          <w:lang w:val="pt-BR" w:eastAsia="pt-BR"/>
        </w:rPr>
        <w:t>PATROCÍNIO CULTURAL, TÉCNICO E DE PATRIMÔNIO HISTÓRICO</w:t>
      </w:r>
    </w:p>
    <w:p w:rsidR="00315253" w:rsidRPr="00CF58D7" w:rsidRDefault="00315253" w:rsidP="0062599C">
      <w:pPr>
        <w:spacing w:before="120"/>
        <w:jc w:val="center"/>
        <w:rPr>
          <w:b/>
          <w:lang w:val="pt-BR" w:eastAsia="x-none"/>
        </w:rPr>
      </w:pPr>
      <w:r w:rsidRPr="00CF58D7">
        <w:rPr>
          <w:b/>
          <w:bCs/>
          <w:u w:val="single"/>
          <w:lang w:val="pt-BR" w:eastAsia="x-none"/>
        </w:rPr>
        <w:t>CRONOGRAMA PREVISTO</w:t>
      </w:r>
    </w:p>
    <w:tbl>
      <w:tblPr>
        <w:tblpPr w:leftFromText="141" w:rightFromText="141" w:vertAnchor="text" w:horzAnchor="margin" w:tblpY="174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4339"/>
        <w:gridCol w:w="1977"/>
      </w:tblGrid>
      <w:tr w:rsidR="00315253" w:rsidRPr="00CF58D7" w:rsidTr="00097609">
        <w:trPr>
          <w:trHeight w:val="502"/>
        </w:trPr>
        <w:tc>
          <w:tcPr>
            <w:tcW w:w="3286" w:type="dxa"/>
            <w:shd w:val="clear" w:color="auto" w:fill="auto"/>
          </w:tcPr>
          <w:p w:rsidR="00315253" w:rsidRPr="00CF58D7" w:rsidRDefault="00315253" w:rsidP="00315253">
            <w:pPr>
              <w:spacing w:before="120"/>
              <w:jc w:val="center"/>
              <w:rPr>
                <w:b/>
                <w:sz w:val="22"/>
                <w:szCs w:val="22"/>
                <w:lang w:val="pt-BR"/>
              </w:rPr>
            </w:pPr>
            <w:r w:rsidRPr="00CF58D7">
              <w:rPr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4339" w:type="dxa"/>
            <w:shd w:val="clear" w:color="auto" w:fill="auto"/>
          </w:tcPr>
          <w:p w:rsidR="00315253" w:rsidRPr="00CF58D7" w:rsidRDefault="00315253" w:rsidP="00315253">
            <w:pPr>
              <w:spacing w:before="120"/>
              <w:jc w:val="center"/>
              <w:rPr>
                <w:b/>
                <w:sz w:val="22"/>
                <w:szCs w:val="22"/>
                <w:lang w:val="pt-BR"/>
              </w:rPr>
            </w:pPr>
            <w:r w:rsidRPr="00CF58D7">
              <w:rPr>
                <w:b/>
                <w:sz w:val="22"/>
                <w:szCs w:val="22"/>
                <w:lang w:val="pt-BR"/>
              </w:rPr>
              <w:t>Prazo legal</w:t>
            </w:r>
          </w:p>
        </w:tc>
        <w:tc>
          <w:tcPr>
            <w:tcW w:w="1977" w:type="dxa"/>
            <w:shd w:val="clear" w:color="auto" w:fill="auto"/>
          </w:tcPr>
          <w:p w:rsidR="00315253" w:rsidRPr="00CF58D7" w:rsidRDefault="00315253" w:rsidP="00315253">
            <w:pPr>
              <w:spacing w:before="120"/>
              <w:jc w:val="center"/>
              <w:rPr>
                <w:b/>
                <w:sz w:val="22"/>
                <w:szCs w:val="22"/>
                <w:lang w:val="pt-BR"/>
              </w:rPr>
            </w:pPr>
            <w:r w:rsidRPr="00CF58D7">
              <w:rPr>
                <w:b/>
                <w:sz w:val="22"/>
                <w:szCs w:val="22"/>
                <w:lang w:val="pt-BR"/>
              </w:rPr>
              <w:t>Data</w:t>
            </w:r>
          </w:p>
        </w:tc>
      </w:tr>
      <w:tr w:rsidR="00315253" w:rsidRPr="00CF58D7" w:rsidTr="00097609">
        <w:trPr>
          <w:trHeight w:val="582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Publicação do Edital (site do CAU/PR)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634057" w:rsidP="00315253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01/10</w:t>
            </w:r>
            <w:r w:rsidR="00315253" w:rsidRPr="00CF58D7">
              <w:rPr>
                <w:sz w:val="22"/>
                <w:szCs w:val="22"/>
                <w:lang w:val="pt-BR"/>
              </w:rPr>
              <w:t>/2019</w:t>
            </w:r>
          </w:p>
        </w:tc>
      </w:tr>
      <w:tr w:rsidR="00315253" w:rsidRPr="00CF58D7" w:rsidTr="00097609">
        <w:trPr>
          <w:trHeight w:val="1153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Recebimento dos projetos através da entrega do Formulário de Apresentação de Projeto (Anexo III):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30 dias (art. 11 do Decreto nº 8.726/2016)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634057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634057">
              <w:rPr>
                <w:sz w:val="22"/>
                <w:szCs w:val="22"/>
                <w:lang w:val="pt-BR"/>
              </w:rPr>
              <w:t>31/10</w:t>
            </w:r>
            <w:r w:rsidR="00315253" w:rsidRPr="00634057">
              <w:rPr>
                <w:sz w:val="22"/>
                <w:szCs w:val="22"/>
                <w:lang w:val="pt-BR"/>
              </w:rPr>
              <w:t>/2019</w:t>
            </w:r>
          </w:p>
        </w:tc>
      </w:tr>
      <w:tr w:rsidR="00315253" w:rsidRPr="00CF58D7" w:rsidTr="00097609">
        <w:trPr>
          <w:trHeight w:val="582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Avaliação dos projetos pela Comissão de Seleção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E568E6" w:rsidP="00634057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01</w:t>
            </w:r>
            <w:r w:rsidR="00634057" w:rsidRPr="00634057">
              <w:rPr>
                <w:sz w:val="22"/>
                <w:szCs w:val="22"/>
                <w:lang w:val="pt-BR"/>
              </w:rPr>
              <w:t>/11</w:t>
            </w:r>
            <w:r>
              <w:rPr>
                <w:sz w:val="22"/>
                <w:szCs w:val="22"/>
                <w:lang w:val="pt-BR"/>
              </w:rPr>
              <w:t>/2019</w:t>
            </w:r>
          </w:p>
        </w:tc>
      </w:tr>
      <w:tr w:rsidR="00315253" w:rsidRPr="00CF58D7" w:rsidTr="00097609">
        <w:trPr>
          <w:trHeight w:val="571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Divulgação do resultado preliminar do processo de seleção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E568E6" w:rsidP="00315253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01</w:t>
            </w:r>
            <w:r w:rsidR="00634057" w:rsidRPr="00634057">
              <w:rPr>
                <w:sz w:val="22"/>
                <w:szCs w:val="22"/>
                <w:lang w:val="pt-BR"/>
              </w:rPr>
              <w:t>/11</w:t>
            </w:r>
            <w:r w:rsidR="00315253" w:rsidRPr="00634057">
              <w:rPr>
                <w:sz w:val="22"/>
                <w:szCs w:val="22"/>
                <w:lang w:val="pt-BR"/>
              </w:rPr>
              <w:t>/2019</w:t>
            </w:r>
          </w:p>
        </w:tc>
      </w:tr>
      <w:tr w:rsidR="00315253" w:rsidRPr="00CF58D7" w:rsidTr="00097609">
        <w:trPr>
          <w:trHeight w:val="868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 apresentação de recurso do resultado preliminar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05 (cinco) dias a contar da data da publicação do resultado (art. 18 do Decreto nº 8.726/2016)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E568E6" w:rsidP="00634057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06</w:t>
            </w:r>
            <w:r w:rsidR="00634057" w:rsidRPr="00634057">
              <w:rPr>
                <w:sz w:val="22"/>
                <w:szCs w:val="22"/>
                <w:lang w:val="pt-BR"/>
              </w:rPr>
              <w:t>/11</w:t>
            </w:r>
            <w:r w:rsidR="00315253" w:rsidRPr="00634057">
              <w:rPr>
                <w:sz w:val="22"/>
                <w:szCs w:val="22"/>
                <w:lang w:val="pt-BR"/>
              </w:rPr>
              <w:t>/2019</w:t>
            </w:r>
          </w:p>
        </w:tc>
      </w:tr>
      <w:tr w:rsidR="00315253" w:rsidRPr="00CF58D7" w:rsidTr="00097609">
        <w:trPr>
          <w:trHeight w:val="1450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Divulgação do resultado final – julgamento dos recursos contra o resultado preliminar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05 (cinco) dias a contar da data final do prazo de recurso para reconsideração da Comissão e mais 05 dias para decisão autoridade competente (art. 18, §1º, do Decreto nº 8.726/2016)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E568E6" w:rsidP="00634057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11</w:t>
            </w:r>
            <w:r w:rsidR="0006253C" w:rsidRPr="00634057">
              <w:rPr>
                <w:sz w:val="22"/>
                <w:szCs w:val="22"/>
                <w:lang w:val="pt-BR"/>
              </w:rPr>
              <w:t>/</w:t>
            </w:r>
            <w:r w:rsidR="00634057" w:rsidRPr="00634057">
              <w:rPr>
                <w:sz w:val="22"/>
                <w:szCs w:val="22"/>
                <w:lang w:val="pt-BR"/>
              </w:rPr>
              <w:t>11</w:t>
            </w:r>
            <w:r w:rsidR="00315253" w:rsidRPr="00634057">
              <w:rPr>
                <w:sz w:val="22"/>
                <w:szCs w:val="22"/>
                <w:lang w:val="pt-BR"/>
              </w:rPr>
              <w:t>/2019</w:t>
            </w:r>
          </w:p>
        </w:tc>
      </w:tr>
      <w:tr w:rsidR="00315253" w:rsidRPr="00CF58D7" w:rsidTr="00097609">
        <w:trPr>
          <w:trHeight w:val="856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 apresentação do Plano de Trabalho e Documentos de Habilitação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15 (quinze) dias a contar da data da convocação preliminar da OSC pelo CAU/PR (artigos 25 e 26 do Decreto nº 8.726/2016)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E568E6" w:rsidP="00315253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18</w:t>
            </w:r>
            <w:r w:rsidR="00634057">
              <w:rPr>
                <w:sz w:val="22"/>
                <w:szCs w:val="22"/>
                <w:lang w:val="pt-BR"/>
              </w:rPr>
              <w:t>/11</w:t>
            </w:r>
            <w:r w:rsidR="00315253" w:rsidRPr="00634057">
              <w:rPr>
                <w:sz w:val="22"/>
                <w:szCs w:val="22"/>
                <w:lang w:val="pt-BR"/>
              </w:rPr>
              <w:t>/2019</w:t>
            </w:r>
          </w:p>
        </w:tc>
      </w:tr>
      <w:tr w:rsidR="00315253" w:rsidRPr="00CF58D7" w:rsidTr="00097609">
        <w:trPr>
          <w:trHeight w:val="868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análise dos Planos de Trabalho e documentos de habilitação final – Equipe Técnica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E568E6" w:rsidP="00634057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19/11</w:t>
            </w:r>
            <w:r w:rsidR="00315253" w:rsidRPr="00634057">
              <w:rPr>
                <w:sz w:val="22"/>
                <w:szCs w:val="22"/>
                <w:lang w:val="pt-BR"/>
              </w:rPr>
              <w:t>/2019</w:t>
            </w:r>
          </w:p>
        </w:tc>
      </w:tr>
      <w:tr w:rsidR="00315253" w:rsidRPr="00CF58D7" w:rsidTr="00097609">
        <w:trPr>
          <w:trHeight w:val="1165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 retificação de Plano de Trabalho e/ou juntada de documentos complementares pela Equipe Técnica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15 (quinze) dias contados da notificação da OSC pelo CAU/PR (art. 28 do Decreto nº 8.726/2016)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E568E6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02095C">
              <w:rPr>
                <w:sz w:val="22"/>
                <w:szCs w:val="22"/>
                <w:lang w:val="pt-BR"/>
              </w:rPr>
              <w:t>04/12</w:t>
            </w:r>
            <w:r w:rsidR="00315253" w:rsidRPr="0002095C">
              <w:rPr>
                <w:sz w:val="22"/>
                <w:szCs w:val="22"/>
                <w:lang w:val="pt-BR"/>
              </w:rPr>
              <w:t>/2019</w:t>
            </w:r>
          </w:p>
        </w:tc>
      </w:tr>
      <w:tr w:rsidR="00315253" w:rsidRPr="00CF58D7" w:rsidTr="00097609">
        <w:trPr>
          <w:trHeight w:val="571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 análise e parecer do Jurídico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E568E6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02095C">
              <w:rPr>
                <w:sz w:val="22"/>
                <w:szCs w:val="22"/>
                <w:lang w:val="pt-BR"/>
              </w:rPr>
              <w:t>05/12/2019 a 06/12</w:t>
            </w:r>
            <w:r w:rsidR="00315253" w:rsidRPr="0002095C">
              <w:rPr>
                <w:sz w:val="22"/>
                <w:szCs w:val="22"/>
                <w:lang w:val="pt-BR"/>
              </w:rPr>
              <w:t>/2019</w:t>
            </w:r>
          </w:p>
        </w:tc>
      </w:tr>
      <w:tr w:rsidR="00315253" w:rsidRPr="00CF58D7" w:rsidTr="00097609">
        <w:trPr>
          <w:trHeight w:val="1454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 formalização dos Termos de Fomento entre as OSC e o CAU/PR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10 (dez) dias a contar da data da notificação final da OSC, após aprovação do projeto pelo CAU/PR.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02095C">
              <w:rPr>
                <w:sz w:val="22"/>
                <w:szCs w:val="22"/>
                <w:lang w:val="pt-BR"/>
              </w:rPr>
              <w:t>Aprovação na</w:t>
            </w:r>
            <w:r w:rsidR="0062599C" w:rsidRPr="0002095C">
              <w:rPr>
                <w:sz w:val="22"/>
                <w:szCs w:val="22"/>
                <w:lang w:val="pt-BR"/>
              </w:rPr>
              <w:t xml:space="preserve"> Plenária de </w:t>
            </w:r>
            <w:r w:rsidR="00E568E6" w:rsidRPr="0002095C">
              <w:rPr>
                <w:sz w:val="22"/>
                <w:szCs w:val="22"/>
                <w:lang w:val="pt-BR"/>
              </w:rPr>
              <w:t>16/12</w:t>
            </w:r>
            <w:r w:rsidR="0062599C" w:rsidRPr="0002095C">
              <w:rPr>
                <w:sz w:val="22"/>
                <w:szCs w:val="22"/>
                <w:lang w:val="pt-BR"/>
              </w:rPr>
              <w:t>/2019</w:t>
            </w:r>
            <w:bookmarkStart w:id="0" w:name="_GoBack"/>
            <w:bookmarkEnd w:id="0"/>
          </w:p>
        </w:tc>
      </w:tr>
    </w:tbl>
    <w:p w:rsidR="00315253" w:rsidRPr="00CF58D7" w:rsidRDefault="00315253" w:rsidP="00315253">
      <w:pPr>
        <w:rPr>
          <w:lang w:val="pt-BR"/>
        </w:rPr>
      </w:pPr>
    </w:p>
    <w:p w:rsidR="00AA4E17" w:rsidRPr="00CF58D7" w:rsidRDefault="00AA4E17" w:rsidP="00315253">
      <w:pPr>
        <w:rPr>
          <w:lang w:val="pt-BR"/>
        </w:rPr>
      </w:pPr>
    </w:p>
    <w:sectPr w:rsidR="00AA4E17" w:rsidRPr="00CF58D7" w:rsidSect="00315253">
      <w:headerReference w:type="default" r:id="rId7"/>
      <w:footerReference w:type="even" r:id="rId8"/>
      <w:footerReference w:type="default" r:id="rId9"/>
      <w:pgSz w:w="11900" w:h="16840"/>
      <w:pgMar w:top="1701" w:right="1418" w:bottom="1418" w:left="1134" w:header="720" w:footer="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0B" w:rsidRDefault="002F710B">
      <w:r>
        <w:separator/>
      </w:r>
    </w:p>
  </w:endnote>
  <w:endnote w:type="continuationSeparator" w:id="0">
    <w:p w:rsidR="002F710B" w:rsidRDefault="002F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0B" w:rsidRDefault="000E2A0B" w:rsidP="000E2A0B">
    <w:pPr>
      <w:pStyle w:val="Rodap"/>
      <w:ind w:left="-709" w:right="-1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0B" w:rsidRPr="00987DB8" w:rsidRDefault="000E2A0B" w:rsidP="000E2A0B">
    <w:pPr>
      <w:pStyle w:val="Rodap"/>
      <w:tabs>
        <w:tab w:val="clear" w:pos="8838"/>
      </w:tabs>
      <w:ind w:left="-709" w:right="-150"/>
      <w:jc w:val="center"/>
      <w:rPr>
        <w:rFonts w:ascii="Arial" w:hAnsi="Arial" w:cs="Arial"/>
        <w:b/>
        <w:color w:val="006666"/>
        <w:sz w:val="18"/>
        <w:szCs w:val="18"/>
        <w:lang w:val="pt-BR"/>
      </w:rPr>
    </w:pPr>
    <w:r w:rsidRPr="00987DB8">
      <w:rPr>
        <w:rFonts w:ascii="Arial" w:hAnsi="Arial" w:cs="Arial"/>
        <w:b/>
        <w:color w:val="006666"/>
        <w:sz w:val="18"/>
        <w:szCs w:val="18"/>
        <w:lang w:val="pt-BR"/>
      </w:rPr>
      <w:t>Conselho de Arquitetura e Urbanismo do Paraná.</w:t>
    </w:r>
  </w:p>
  <w:p w:rsidR="000E2A0B" w:rsidRPr="00987DB8" w:rsidRDefault="000E2A0B" w:rsidP="000E2A0B">
    <w:pPr>
      <w:pStyle w:val="Rodap"/>
      <w:ind w:left="-709" w:right="-150"/>
      <w:jc w:val="center"/>
      <w:rPr>
        <w:rFonts w:ascii="Arial" w:hAnsi="Arial" w:cs="Arial"/>
        <w:b/>
        <w:color w:val="808080"/>
        <w:sz w:val="18"/>
        <w:szCs w:val="18"/>
        <w:lang w:val="pt-BR"/>
      </w:rPr>
    </w:pPr>
    <w:r w:rsidRPr="00987DB8">
      <w:rPr>
        <w:rFonts w:ascii="Arial" w:hAnsi="Arial" w:cs="Arial"/>
        <w:b/>
        <w:color w:val="808080"/>
        <w:sz w:val="18"/>
        <w:szCs w:val="18"/>
        <w:lang w:val="pt-BR"/>
      </w:rPr>
      <w:t>Sede Av. Nossa Senhora da Luz, 2.530, CEP 80045-360 – Curitiba-PR.  Fone: 41 3218-0200</w:t>
    </w:r>
  </w:p>
  <w:p w:rsidR="000E2A0B" w:rsidRPr="00987DB8" w:rsidRDefault="000E2A0B" w:rsidP="000E2A0B">
    <w:pPr>
      <w:pStyle w:val="Rodap"/>
      <w:ind w:left="-709" w:right="-150"/>
      <w:jc w:val="center"/>
      <w:rPr>
        <w:rFonts w:ascii="Arial" w:hAnsi="Arial" w:cs="Arial"/>
        <w:color w:val="808080"/>
        <w:sz w:val="14"/>
        <w:szCs w:val="14"/>
        <w:lang w:val="pt-BR"/>
      </w:rPr>
    </w:pPr>
    <w:r w:rsidRPr="00987DB8">
      <w:rPr>
        <w:rFonts w:ascii="Arial" w:hAnsi="Arial" w:cs="Arial"/>
        <w:color w:val="808080"/>
        <w:sz w:val="14"/>
        <w:szCs w:val="14"/>
        <w:lang w:val="pt-BR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:rsidR="00A36E13" w:rsidRPr="00987DB8" w:rsidRDefault="00A36E13" w:rsidP="000E2A0B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0B" w:rsidRDefault="002F710B">
      <w:r>
        <w:separator/>
      </w:r>
    </w:p>
  </w:footnote>
  <w:footnote w:type="continuationSeparator" w:id="0">
    <w:p w:rsidR="002F710B" w:rsidRDefault="002F7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0B" w:rsidRPr="00981F55" w:rsidRDefault="00315253" w:rsidP="000E2A0B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A0B" w:rsidRPr="00981F55">
      <w:rPr>
        <w:rFonts w:ascii="Calibri" w:hAnsi="Calibri" w:cs="Calibri"/>
        <w:b/>
        <w:bCs/>
        <w:sz w:val="20"/>
      </w:rPr>
      <w:fldChar w:fldCharType="begin"/>
    </w:r>
    <w:r w:rsidR="000E2A0B" w:rsidRPr="00981F55">
      <w:rPr>
        <w:rFonts w:ascii="Calibri" w:hAnsi="Calibri" w:cs="Calibri"/>
        <w:b/>
        <w:bCs/>
        <w:sz w:val="20"/>
      </w:rPr>
      <w:instrText>PAGE</w:instrText>
    </w:r>
    <w:r w:rsidR="000E2A0B" w:rsidRPr="00981F55">
      <w:rPr>
        <w:rFonts w:ascii="Calibri" w:hAnsi="Calibri" w:cs="Calibri"/>
        <w:b/>
        <w:bCs/>
        <w:sz w:val="20"/>
      </w:rPr>
      <w:fldChar w:fldCharType="separate"/>
    </w:r>
    <w:r w:rsidR="0002095C">
      <w:rPr>
        <w:rFonts w:ascii="Calibri" w:hAnsi="Calibri" w:cs="Calibri"/>
        <w:b/>
        <w:bCs/>
        <w:noProof/>
        <w:sz w:val="20"/>
      </w:rPr>
      <w:t>1</w:t>
    </w:r>
    <w:r w:rsidR="000E2A0B" w:rsidRPr="00981F55">
      <w:rPr>
        <w:rFonts w:ascii="Calibri" w:hAnsi="Calibri" w:cs="Calibri"/>
        <w:b/>
        <w:bCs/>
        <w:sz w:val="20"/>
      </w:rPr>
      <w:fldChar w:fldCharType="end"/>
    </w:r>
    <w:r w:rsidR="000E2A0B" w:rsidRPr="00981F55">
      <w:rPr>
        <w:rFonts w:ascii="Calibri" w:hAnsi="Calibri" w:cs="Calibri"/>
        <w:sz w:val="20"/>
      </w:rPr>
      <w:t xml:space="preserve"> de </w:t>
    </w:r>
    <w:r w:rsidR="000E2A0B" w:rsidRPr="00981F55">
      <w:rPr>
        <w:rFonts w:ascii="Calibri" w:hAnsi="Calibri" w:cs="Calibri"/>
        <w:b/>
        <w:bCs/>
        <w:sz w:val="20"/>
      </w:rPr>
      <w:fldChar w:fldCharType="begin"/>
    </w:r>
    <w:r w:rsidR="000E2A0B" w:rsidRPr="00981F55">
      <w:rPr>
        <w:rFonts w:ascii="Calibri" w:hAnsi="Calibri" w:cs="Calibri"/>
        <w:b/>
        <w:bCs/>
        <w:sz w:val="20"/>
      </w:rPr>
      <w:instrText>NUMPAGES</w:instrText>
    </w:r>
    <w:r w:rsidR="000E2A0B" w:rsidRPr="00981F55">
      <w:rPr>
        <w:rFonts w:ascii="Calibri" w:hAnsi="Calibri" w:cs="Calibri"/>
        <w:b/>
        <w:bCs/>
        <w:sz w:val="20"/>
      </w:rPr>
      <w:fldChar w:fldCharType="separate"/>
    </w:r>
    <w:r w:rsidR="0002095C">
      <w:rPr>
        <w:rFonts w:ascii="Calibri" w:hAnsi="Calibri" w:cs="Calibri"/>
        <w:b/>
        <w:bCs/>
        <w:noProof/>
        <w:sz w:val="20"/>
      </w:rPr>
      <w:t>1</w:t>
    </w:r>
    <w:r w:rsidR="000E2A0B" w:rsidRPr="00981F55">
      <w:rPr>
        <w:rFonts w:ascii="Calibri" w:hAnsi="Calibri" w:cs="Calibri"/>
        <w:b/>
        <w:bCs/>
        <w:sz w:val="20"/>
      </w:rPr>
      <w:fldChar w:fldCharType="end"/>
    </w:r>
  </w:p>
  <w:p w:rsidR="00A36E13" w:rsidRDefault="00A36E13" w:rsidP="000E2A0B">
    <w:pPr>
      <w:ind w:left="-709" w:right="-150"/>
      <w:rPr>
        <w:sz w:val="20"/>
        <w:lang w:val="pt-BR" w:eastAsia="pt-BR" w:bidi="x-none"/>
      </w:rPr>
    </w:pPr>
  </w:p>
  <w:p w:rsidR="000E2A0B" w:rsidRDefault="00A36E13" w:rsidP="000E2A0B">
    <w:pPr>
      <w:pStyle w:val="Rodap"/>
      <w:ind w:left="-709" w:right="-150"/>
    </w:pP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2E2"/>
    <w:multiLevelType w:val="multilevel"/>
    <w:tmpl w:val="FCDA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8256A"/>
    <w:multiLevelType w:val="hybridMultilevel"/>
    <w:tmpl w:val="03BA6CB0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5066F"/>
    <w:multiLevelType w:val="multilevel"/>
    <w:tmpl w:val="FF68C3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EEA78DA"/>
    <w:multiLevelType w:val="hybridMultilevel"/>
    <w:tmpl w:val="CD360A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3D7BF5"/>
    <w:multiLevelType w:val="multilevel"/>
    <w:tmpl w:val="72E67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3E712728"/>
    <w:multiLevelType w:val="hybridMultilevel"/>
    <w:tmpl w:val="CD360A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67115FC"/>
    <w:multiLevelType w:val="hybridMultilevel"/>
    <w:tmpl w:val="5248EC94"/>
    <w:lvl w:ilvl="0" w:tplc="C524A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D468B"/>
    <w:multiLevelType w:val="hybridMultilevel"/>
    <w:tmpl w:val="6086547C"/>
    <w:lvl w:ilvl="0" w:tplc="98E65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C2F5E"/>
    <w:multiLevelType w:val="hybridMultilevel"/>
    <w:tmpl w:val="A7BC57B4"/>
    <w:lvl w:ilvl="0" w:tplc="DB18A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05265"/>
    <w:multiLevelType w:val="hybridMultilevel"/>
    <w:tmpl w:val="CD360A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hdrShapeDefaults>
    <o:shapedefaults v:ext="edit" spidmax="409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01"/>
    <w:rsid w:val="0002095C"/>
    <w:rsid w:val="00025C68"/>
    <w:rsid w:val="0006253C"/>
    <w:rsid w:val="000645E5"/>
    <w:rsid w:val="00084658"/>
    <w:rsid w:val="000E2A0B"/>
    <w:rsid w:val="000F71B8"/>
    <w:rsid w:val="00104D16"/>
    <w:rsid w:val="00112244"/>
    <w:rsid w:val="00176101"/>
    <w:rsid w:val="001A4CC8"/>
    <w:rsid w:val="0020108E"/>
    <w:rsid w:val="00212543"/>
    <w:rsid w:val="00222817"/>
    <w:rsid w:val="00245429"/>
    <w:rsid w:val="00260E2C"/>
    <w:rsid w:val="002626C2"/>
    <w:rsid w:val="00264D44"/>
    <w:rsid w:val="00286408"/>
    <w:rsid w:val="002E6514"/>
    <w:rsid w:val="002F710B"/>
    <w:rsid w:val="00301CD7"/>
    <w:rsid w:val="00315253"/>
    <w:rsid w:val="00321C8F"/>
    <w:rsid w:val="003C07E9"/>
    <w:rsid w:val="003D2EE4"/>
    <w:rsid w:val="003E3A0A"/>
    <w:rsid w:val="003E7465"/>
    <w:rsid w:val="0041050E"/>
    <w:rsid w:val="004201E4"/>
    <w:rsid w:val="0047693D"/>
    <w:rsid w:val="004A4149"/>
    <w:rsid w:val="004B030C"/>
    <w:rsid w:val="004E01AA"/>
    <w:rsid w:val="004E0808"/>
    <w:rsid w:val="00510A52"/>
    <w:rsid w:val="005237C3"/>
    <w:rsid w:val="0052402A"/>
    <w:rsid w:val="00526022"/>
    <w:rsid w:val="005C79D2"/>
    <w:rsid w:val="005D1909"/>
    <w:rsid w:val="005E250C"/>
    <w:rsid w:val="0062599C"/>
    <w:rsid w:val="00634057"/>
    <w:rsid w:val="006351BC"/>
    <w:rsid w:val="00635D73"/>
    <w:rsid w:val="00660E4E"/>
    <w:rsid w:val="006E60C7"/>
    <w:rsid w:val="00735320"/>
    <w:rsid w:val="00774C1A"/>
    <w:rsid w:val="007B4158"/>
    <w:rsid w:val="007D7AA4"/>
    <w:rsid w:val="008363DD"/>
    <w:rsid w:val="008576A7"/>
    <w:rsid w:val="00886008"/>
    <w:rsid w:val="008C1948"/>
    <w:rsid w:val="008C5C93"/>
    <w:rsid w:val="008C6594"/>
    <w:rsid w:val="00947CE7"/>
    <w:rsid w:val="00962708"/>
    <w:rsid w:val="0098461E"/>
    <w:rsid w:val="00987DB8"/>
    <w:rsid w:val="009E3513"/>
    <w:rsid w:val="009F76BB"/>
    <w:rsid w:val="00A041B1"/>
    <w:rsid w:val="00A0488E"/>
    <w:rsid w:val="00A15317"/>
    <w:rsid w:val="00A36E13"/>
    <w:rsid w:val="00A40956"/>
    <w:rsid w:val="00A61585"/>
    <w:rsid w:val="00A74363"/>
    <w:rsid w:val="00A74C0F"/>
    <w:rsid w:val="00A9338A"/>
    <w:rsid w:val="00A95ED9"/>
    <w:rsid w:val="00AA4E17"/>
    <w:rsid w:val="00AB0142"/>
    <w:rsid w:val="00AB3EEC"/>
    <w:rsid w:val="00AC504A"/>
    <w:rsid w:val="00AD002F"/>
    <w:rsid w:val="00AD4E3F"/>
    <w:rsid w:val="00B042FE"/>
    <w:rsid w:val="00B04FF1"/>
    <w:rsid w:val="00B2786E"/>
    <w:rsid w:val="00B57260"/>
    <w:rsid w:val="00B9748A"/>
    <w:rsid w:val="00B97EAD"/>
    <w:rsid w:val="00BA0DE7"/>
    <w:rsid w:val="00BB7DA2"/>
    <w:rsid w:val="00BD55BA"/>
    <w:rsid w:val="00C64AA4"/>
    <w:rsid w:val="00C66BE5"/>
    <w:rsid w:val="00C94D51"/>
    <w:rsid w:val="00CE5829"/>
    <w:rsid w:val="00CF58D7"/>
    <w:rsid w:val="00D45CC1"/>
    <w:rsid w:val="00D802A3"/>
    <w:rsid w:val="00DA7CB8"/>
    <w:rsid w:val="00DC5BF8"/>
    <w:rsid w:val="00DC6EE4"/>
    <w:rsid w:val="00DF0DDB"/>
    <w:rsid w:val="00E31DE2"/>
    <w:rsid w:val="00E34F2A"/>
    <w:rsid w:val="00E413E3"/>
    <w:rsid w:val="00E568E6"/>
    <w:rsid w:val="00E675FA"/>
    <w:rsid w:val="00E77B41"/>
    <w:rsid w:val="00E92EB7"/>
    <w:rsid w:val="00EE7160"/>
    <w:rsid w:val="00F421EB"/>
    <w:rsid w:val="00F539A8"/>
    <w:rsid w:val="00F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0" endcap="round"/>
    </o:shapedefaults>
    <o:shapelayout v:ext="edit">
      <o:idmap v:ext="edit" data="1"/>
    </o:shapelayout>
  </w:shapeDefaults>
  <w:decimalSymbol w:val=","/>
  <w:listSeparator w:val=";"/>
  <w15:chartTrackingRefBased/>
  <w15:docId w15:val="{F867E62B-8275-4EB7-93D2-CD4D8EB5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rsid w:val="00315253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1761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94D51"/>
    <w:pPr>
      <w:suppressAutoHyphens/>
      <w:ind w:firstLine="1440"/>
      <w:jc w:val="both"/>
    </w:pPr>
    <w:rPr>
      <w:szCs w:val="20"/>
      <w:lang w:val="pt-BR" w:eastAsia="ar-SA"/>
    </w:rPr>
  </w:style>
  <w:style w:type="character" w:customStyle="1" w:styleId="RecuodecorpodetextoChar">
    <w:name w:val="Recuo de corpo de texto Char"/>
    <w:link w:val="Recuodecorpodetexto"/>
    <w:rsid w:val="00C94D51"/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C94D51"/>
    <w:pPr>
      <w:suppressAutoHyphens/>
      <w:ind w:left="708"/>
    </w:pPr>
    <w:rPr>
      <w:sz w:val="20"/>
      <w:szCs w:val="20"/>
      <w:lang w:val="pt-BR" w:eastAsia="ar-SA"/>
    </w:rPr>
  </w:style>
  <w:style w:type="paragraph" w:customStyle="1" w:styleId="Default">
    <w:name w:val="Default"/>
    <w:rsid w:val="00C94D5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3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9338A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AB3EEC"/>
    <w:pPr>
      <w:spacing w:before="100" w:beforeAutospacing="1" w:after="100" w:afterAutospacing="1"/>
    </w:pPr>
    <w:rPr>
      <w:lang w:val="pt-BR" w:eastAsia="pt-BR"/>
    </w:rPr>
  </w:style>
  <w:style w:type="paragraph" w:styleId="Ttulo">
    <w:name w:val="Title"/>
    <w:basedOn w:val="Normal"/>
    <w:link w:val="TtuloChar"/>
    <w:qFormat/>
    <w:rsid w:val="003E3A0A"/>
    <w:pPr>
      <w:jc w:val="center"/>
    </w:pPr>
    <w:rPr>
      <w:rFonts w:ascii="Verdana" w:hAnsi="Verdana"/>
      <w:b/>
      <w:bCs/>
      <w:sz w:val="22"/>
      <w:lang w:val="x-none" w:eastAsia="x-none"/>
    </w:rPr>
  </w:style>
  <w:style w:type="character" w:customStyle="1" w:styleId="TtuloChar">
    <w:name w:val="Título Char"/>
    <w:link w:val="Ttulo"/>
    <w:rsid w:val="003E3A0A"/>
    <w:rPr>
      <w:rFonts w:ascii="Verdana" w:hAnsi="Verdana"/>
      <w:b/>
      <w:bCs/>
      <w:sz w:val="22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2626C2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2626C2"/>
    <w:rPr>
      <w:sz w:val="24"/>
      <w:szCs w:val="24"/>
      <w:lang w:val="en-US" w:eastAsia="en-US"/>
    </w:rPr>
  </w:style>
  <w:style w:type="character" w:customStyle="1" w:styleId="CabealhoChar">
    <w:name w:val="Cabeçalho Char"/>
    <w:link w:val="Cabealho"/>
    <w:uiPriority w:val="99"/>
    <w:rsid w:val="000E2A0B"/>
    <w:rPr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315253"/>
    <w:rPr>
      <w:rFonts w:ascii="Calibri" w:eastAsia="Calibri" w:hAnsi="Calibri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dutras</Company>
  <LinksUpToDate>false</LinksUpToDate>
  <CharactersWithSpaces>1745</CharactersWithSpaces>
  <SharedDoc>false</SharedDoc>
  <HLinks>
    <vt:vector size="18" baseType="variant"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http://www.planalto.gov.br/ccivil_03/_Ato2015-2018/2015/Lei/L13204.htm</vt:lpwstr>
      </vt:variant>
      <vt:variant>
        <vt:lpwstr>art9</vt:lpwstr>
      </vt:variant>
      <vt:variant>
        <vt:i4>7143507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http://www.planalto.gov.br/ccivil_03/LEIS/L8429.htm</vt:lpwstr>
      </vt:variant>
      <vt:variant>
        <vt:lpwstr>art12i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http://www.planalto.gov.br/ccivil_03/_Ato2011-2014/2014/Lei/L13019.htm</vt:lpwstr>
      </vt:variant>
      <vt:variant>
        <vt:lpwstr>art39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9</cp:revision>
  <cp:lastPrinted>2016-07-18T17:35:00Z</cp:lastPrinted>
  <dcterms:created xsi:type="dcterms:W3CDTF">2019-07-11T20:27:00Z</dcterms:created>
  <dcterms:modified xsi:type="dcterms:W3CDTF">2019-10-01T18:24:00Z</dcterms:modified>
</cp:coreProperties>
</file>