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mples2"/>
        <w:tblW w:w="8647" w:type="dxa"/>
        <w:tblLook w:val="04A0" w:firstRow="1" w:lastRow="0" w:firstColumn="1" w:lastColumn="0" w:noHBand="0" w:noVBand="1"/>
      </w:tblPr>
      <w:tblGrid>
        <w:gridCol w:w="1701"/>
        <w:gridCol w:w="6946"/>
      </w:tblGrid>
      <w:tr w:rsidR="00554059" w:rsidRPr="00EA05A9" w:rsidTr="00554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6A6A6" w:themeColor="background1" w:themeShade="A6"/>
            </w:tcBorders>
            <w:shd w:val="clear" w:color="auto" w:fill="E7E6E6" w:themeFill="background2"/>
          </w:tcPr>
          <w:p w:rsidR="00554059" w:rsidRPr="00EA05A9" w:rsidRDefault="00554059" w:rsidP="002D1485">
            <w:pPr>
              <w:keepLines/>
              <w:autoSpaceDE w:val="0"/>
              <w:autoSpaceDN w:val="0"/>
              <w:adjustRightInd w:val="0"/>
              <w:contextualSpacing/>
              <w:rPr>
                <w:rFonts w:ascii="Calibri" w:hAnsi="Calibri" w:cs="Calibri"/>
                <w:b w:val="0"/>
                <w:bCs w:val="0"/>
                <w:sz w:val="24"/>
                <w:szCs w:val="24"/>
                <w:u w:val="single"/>
              </w:rPr>
            </w:pPr>
            <w:r w:rsidRPr="00EA05A9">
              <w:rPr>
                <w:rFonts w:ascii="Calibri" w:hAnsi="Calibri" w:cs="Calibri"/>
                <w:b w:val="0"/>
                <w:sz w:val="24"/>
                <w:szCs w:val="24"/>
              </w:rPr>
              <w:t>PROCESSO</w:t>
            </w:r>
          </w:p>
        </w:tc>
        <w:tc>
          <w:tcPr>
            <w:tcW w:w="6946" w:type="dxa"/>
            <w:tcBorders>
              <w:left w:val="single" w:sz="4" w:space="0" w:color="A6A6A6" w:themeColor="background1" w:themeShade="A6"/>
            </w:tcBorders>
          </w:tcPr>
          <w:p w:rsidR="00554059" w:rsidRPr="00EA05A9" w:rsidRDefault="00554059" w:rsidP="00996224">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Cs w:val="0"/>
                <w:sz w:val="24"/>
                <w:szCs w:val="24"/>
              </w:rPr>
            </w:pPr>
          </w:p>
        </w:tc>
      </w:tr>
      <w:tr w:rsidR="00554059" w:rsidRPr="00EA05A9" w:rsidTr="0055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6A6A6" w:themeColor="background1" w:themeShade="A6"/>
            </w:tcBorders>
            <w:shd w:val="clear" w:color="auto" w:fill="E7E6E6" w:themeFill="background2"/>
          </w:tcPr>
          <w:p w:rsidR="00554059" w:rsidRPr="00EA05A9" w:rsidRDefault="00554059" w:rsidP="002D1485">
            <w:pPr>
              <w:keepLines/>
              <w:autoSpaceDE w:val="0"/>
              <w:autoSpaceDN w:val="0"/>
              <w:adjustRightInd w:val="0"/>
              <w:contextualSpacing/>
              <w:rPr>
                <w:rFonts w:ascii="Calibri" w:hAnsi="Calibri" w:cs="Calibri"/>
                <w:b w:val="0"/>
                <w:bCs w:val="0"/>
                <w:sz w:val="24"/>
                <w:szCs w:val="24"/>
                <w:u w:val="single"/>
              </w:rPr>
            </w:pPr>
            <w:r w:rsidRPr="00EA05A9">
              <w:rPr>
                <w:rFonts w:ascii="Calibri" w:hAnsi="Calibri" w:cs="Calibri"/>
                <w:b w:val="0"/>
                <w:sz w:val="24"/>
                <w:szCs w:val="24"/>
              </w:rPr>
              <w:t>INTERESSADO</w:t>
            </w:r>
          </w:p>
        </w:tc>
        <w:tc>
          <w:tcPr>
            <w:tcW w:w="6946" w:type="dxa"/>
            <w:tcBorders>
              <w:left w:val="single" w:sz="4" w:space="0" w:color="A6A6A6" w:themeColor="background1" w:themeShade="A6"/>
            </w:tcBorders>
          </w:tcPr>
          <w:p w:rsidR="00554059" w:rsidRPr="00EA05A9" w:rsidRDefault="00E82DF4" w:rsidP="00A01A9C">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A05A9">
              <w:rPr>
                <w:rFonts w:ascii="Calibri" w:hAnsi="Calibri" w:cs="Calibri"/>
                <w:sz w:val="24"/>
                <w:szCs w:val="24"/>
              </w:rPr>
              <w:t>CAU/PR</w:t>
            </w:r>
          </w:p>
        </w:tc>
      </w:tr>
      <w:tr w:rsidR="00554059" w:rsidRPr="00EA05A9" w:rsidTr="0055405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6A6A6" w:themeColor="background1" w:themeShade="A6"/>
            </w:tcBorders>
            <w:shd w:val="clear" w:color="auto" w:fill="E7E6E6" w:themeFill="background2"/>
          </w:tcPr>
          <w:p w:rsidR="00554059" w:rsidRPr="00EA05A9" w:rsidRDefault="00554059" w:rsidP="002D1485">
            <w:pPr>
              <w:keepLines/>
              <w:autoSpaceDE w:val="0"/>
              <w:autoSpaceDN w:val="0"/>
              <w:adjustRightInd w:val="0"/>
              <w:contextualSpacing/>
              <w:rPr>
                <w:rFonts w:ascii="Calibri" w:hAnsi="Calibri" w:cs="Calibri"/>
                <w:b w:val="0"/>
                <w:bCs w:val="0"/>
                <w:sz w:val="24"/>
                <w:szCs w:val="24"/>
              </w:rPr>
            </w:pPr>
            <w:r w:rsidRPr="00EA05A9">
              <w:rPr>
                <w:rFonts w:ascii="Calibri" w:hAnsi="Calibri" w:cs="Calibri"/>
                <w:b w:val="0"/>
                <w:bCs w:val="0"/>
                <w:sz w:val="24"/>
                <w:szCs w:val="24"/>
              </w:rPr>
              <w:t>ASSUNTO</w:t>
            </w:r>
          </w:p>
        </w:tc>
        <w:tc>
          <w:tcPr>
            <w:tcW w:w="6946" w:type="dxa"/>
            <w:tcBorders>
              <w:left w:val="single" w:sz="4" w:space="0" w:color="A6A6A6" w:themeColor="background1" w:themeShade="A6"/>
            </w:tcBorders>
          </w:tcPr>
          <w:p w:rsidR="005D2F14" w:rsidRPr="00EA05A9" w:rsidRDefault="00F91711" w:rsidP="00CA1B90">
            <w:pPr>
              <w:keepLines/>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u w:val="single"/>
              </w:rPr>
            </w:pPr>
            <w:r>
              <w:rPr>
                <w:rFonts w:ascii="Calibri" w:hAnsi="Calibri" w:cs="Calibri"/>
                <w:sz w:val="24"/>
                <w:szCs w:val="24"/>
              </w:rPr>
              <w:t>ORIENTAÇÕES SOBRE EXECUÇÃO DE OBRAS DURANTE A QUARENTENA.</w:t>
            </w:r>
          </w:p>
        </w:tc>
      </w:tr>
    </w:tbl>
    <w:tbl>
      <w:tblPr>
        <w:tblStyle w:val="TabelaSimples2"/>
        <w:tblpPr w:leftFromText="141" w:rightFromText="141" w:vertAnchor="text" w:horzAnchor="page" w:tblpX="1978" w:tblpY="100"/>
        <w:tblW w:w="0" w:type="auto"/>
        <w:tblLook w:val="04A0" w:firstRow="1" w:lastRow="0" w:firstColumn="1" w:lastColumn="0" w:noHBand="0" w:noVBand="1"/>
      </w:tblPr>
      <w:tblGrid>
        <w:gridCol w:w="8080"/>
      </w:tblGrid>
      <w:tr w:rsidR="00554059" w:rsidRPr="00EA05A9" w:rsidTr="002D1485">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8080" w:type="dxa"/>
          </w:tcPr>
          <w:p w:rsidR="00554059" w:rsidRPr="00F91711" w:rsidRDefault="00554059" w:rsidP="00E82DF4">
            <w:pPr>
              <w:keepLines/>
              <w:autoSpaceDE w:val="0"/>
              <w:autoSpaceDN w:val="0"/>
              <w:adjustRightInd w:val="0"/>
              <w:contextualSpacing/>
              <w:jc w:val="center"/>
              <w:rPr>
                <w:rFonts w:ascii="Calibri" w:hAnsi="Calibri" w:cs="Calibri"/>
                <w:bCs w:val="0"/>
                <w:sz w:val="24"/>
                <w:szCs w:val="24"/>
              </w:rPr>
            </w:pPr>
            <w:r w:rsidRPr="00F91711">
              <w:rPr>
                <w:rFonts w:ascii="Calibri" w:hAnsi="Calibri" w:cs="Calibri"/>
                <w:bCs w:val="0"/>
                <w:sz w:val="24"/>
                <w:szCs w:val="24"/>
              </w:rPr>
              <w:t xml:space="preserve">DELIBERAÇÃO Nº </w:t>
            </w:r>
            <w:r w:rsidR="00E82DF4" w:rsidRPr="00F91711">
              <w:rPr>
                <w:rFonts w:ascii="Calibri" w:hAnsi="Calibri" w:cs="Calibri"/>
                <w:bCs w:val="0"/>
                <w:sz w:val="24"/>
                <w:szCs w:val="24"/>
              </w:rPr>
              <w:t>0</w:t>
            </w:r>
            <w:r w:rsidR="00F91711" w:rsidRPr="00F91711">
              <w:rPr>
                <w:rFonts w:ascii="Calibri" w:hAnsi="Calibri" w:cs="Calibri"/>
                <w:bCs w:val="0"/>
                <w:sz w:val="24"/>
                <w:szCs w:val="24"/>
              </w:rPr>
              <w:t>0</w:t>
            </w:r>
            <w:r w:rsidR="00E82DF4" w:rsidRPr="00F91711">
              <w:rPr>
                <w:rFonts w:ascii="Calibri" w:hAnsi="Calibri" w:cs="Calibri"/>
                <w:bCs w:val="0"/>
                <w:sz w:val="24"/>
                <w:szCs w:val="24"/>
              </w:rPr>
              <w:t>1</w:t>
            </w:r>
            <w:r w:rsidRPr="00F91711">
              <w:rPr>
                <w:rFonts w:ascii="Calibri" w:hAnsi="Calibri" w:cs="Calibri"/>
                <w:bCs w:val="0"/>
                <w:sz w:val="24"/>
                <w:szCs w:val="24"/>
              </w:rPr>
              <w:t>/</w:t>
            </w:r>
            <w:r w:rsidR="00F91711" w:rsidRPr="00F91711">
              <w:rPr>
                <w:rFonts w:ascii="Calibri" w:hAnsi="Calibri" w:cs="Calibri"/>
                <w:bCs w:val="0"/>
                <w:sz w:val="24"/>
                <w:szCs w:val="24"/>
              </w:rPr>
              <w:t>2020</w:t>
            </w:r>
            <w:r w:rsidRPr="00F91711">
              <w:rPr>
                <w:rFonts w:ascii="Calibri" w:hAnsi="Calibri" w:cs="Calibri"/>
                <w:bCs w:val="0"/>
                <w:sz w:val="24"/>
                <w:szCs w:val="24"/>
              </w:rPr>
              <w:t xml:space="preserve"> </w:t>
            </w:r>
            <w:r w:rsidR="00B070F0" w:rsidRPr="00F91711">
              <w:rPr>
                <w:rFonts w:ascii="Calibri" w:hAnsi="Calibri" w:cs="Calibri"/>
                <w:bCs w:val="0"/>
                <w:sz w:val="24"/>
                <w:szCs w:val="24"/>
              </w:rPr>
              <w:t>–</w:t>
            </w:r>
            <w:r w:rsidR="00A838D9" w:rsidRPr="00F91711">
              <w:rPr>
                <w:rFonts w:ascii="Calibri" w:hAnsi="Calibri" w:cs="Calibri"/>
                <w:bCs w:val="0"/>
                <w:sz w:val="24"/>
                <w:szCs w:val="24"/>
              </w:rPr>
              <w:t xml:space="preserve"> </w:t>
            </w:r>
            <w:r w:rsidR="00E82DF4" w:rsidRPr="00F91711">
              <w:rPr>
                <w:rFonts w:ascii="Calibri" w:hAnsi="Calibri" w:cs="Calibri"/>
                <w:bCs w:val="0"/>
                <w:sz w:val="24"/>
                <w:szCs w:val="24"/>
              </w:rPr>
              <w:t>CONSELHO DIRETOR</w:t>
            </w:r>
            <w:r w:rsidR="00B070F0" w:rsidRPr="00F91711">
              <w:rPr>
                <w:rFonts w:ascii="Calibri" w:hAnsi="Calibri" w:cs="Calibri"/>
                <w:bCs w:val="0"/>
                <w:sz w:val="24"/>
                <w:szCs w:val="24"/>
              </w:rPr>
              <w:t xml:space="preserve"> -</w:t>
            </w:r>
            <w:r w:rsidRPr="00F91711">
              <w:rPr>
                <w:rFonts w:ascii="Calibri" w:hAnsi="Calibri" w:cs="Calibri"/>
                <w:bCs w:val="0"/>
                <w:sz w:val="24"/>
                <w:szCs w:val="24"/>
              </w:rPr>
              <w:t xml:space="preserve"> CAU/</w:t>
            </w:r>
            <w:r w:rsidR="00A838D9" w:rsidRPr="00F91711">
              <w:rPr>
                <w:rFonts w:ascii="Calibri" w:hAnsi="Calibri" w:cs="Calibri"/>
                <w:bCs w:val="0"/>
                <w:sz w:val="24"/>
                <w:szCs w:val="24"/>
              </w:rPr>
              <w:t>PR</w:t>
            </w:r>
          </w:p>
        </w:tc>
      </w:tr>
    </w:tbl>
    <w:p w:rsidR="00DB11A9" w:rsidRPr="00EA05A9" w:rsidRDefault="00DB11A9" w:rsidP="00DB11A9">
      <w:pPr>
        <w:autoSpaceDE w:val="0"/>
        <w:autoSpaceDN w:val="0"/>
        <w:adjustRightInd w:val="0"/>
        <w:spacing w:after="0" w:line="240" w:lineRule="auto"/>
        <w:jc w:val="center"/>
        <w:rPr>
          <w:rFonts w:ascii="Calibri" w:hAnsi="Calibri" w:cs="Calibri"/>
          <w:b/>
          <w:bCs/>
          <w:sz w:val="24"/>
          <w:szCs w:val="24"/>
          <w:u w:val="single"/>
        </w:rPr>
      </w:pPr>
    </w:p>
    <w:p w:rsidR="00DB11A9" w:rsidRPr="00EA05A9" w:rsidRDefault="00DB11A9" w:rsidP="00DB11A9">
      <w:pPr>
        <w:autoSpaceDE w:val="0"/>
        <w:autoSpaceDN w:val="0"/>
        <w:adjustRightInd w:val="0"/>
        <w:spacing w:after="0" w:line="240" w:lineRule="auto"/>
        <w:rPr>
          <w:rFonts w:ascii="Calibri" w:hAnsi="Calibri" w:cs="Calibri"/>
          <w:sz w:val="24"/>
          <w:szCs w:val="24"/>
        </w:rPr>
      </w:pPr>
    </w:p>
    <w:p w:rsid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O Conselho Diretor do Conselho de Arquitetura e Urbanismo do Paraná - CAU/PR, reunido virtualmente, na data de 06 de abril de 2020, em sua Reunião Ordinária</w:t>
      </w:r>
      <w:r>
        <w:rPr>
          <w:rFonts w:ascii="Calibri" w:hAnsi="Calibri" w:cs="Calibri"/>
          <w:sz w:val="24"/>
          <w:szCs w:val="24"/>
        </w:rPr>
        <w:t xml:space="preserve"> de nº 001/2020, delibera que: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Considerando a pandemia decorrente do Covid-19 (</w:t>
      </w:r>
      <w:proofErr w:type="spellStart"/>
      <w:r w:rsidRPr="00F91711">
        <w:rPr>
          <w:rFonts w:ascii="Calibri" w:hAnsi="Calibri" w:cs="Calibri"/>
          <w:sz w:val="24"/>
          <w:szCs w:val="24"/>
        </w:rPr>
        <w:t>Coronavírus</w:t>
      </w:r>
      <w:proofErr w:type="spellEnd"/>
      <w:r w:rsidRPr="00F91711">
        <w:rPr>
          <w:rFonts w:ascii="Calibri" w:hAnsi="Calibri" w:cs="Calibri"/>
          <w:sz w:val="24"/>
          <w:szCs w:val="24"/>
        </w:rPr>
        <w:t xml:space="preserve">) reconhecida pela Organização Mundial de Saúde e a alta propagação do vírus;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 xml:space="preserve">Considerando o disposto na Lei Federal nº 13.979/2020, que cuida de medidas para enfrentamento da emergência de saúde pública de relevância internacional decorrência do Covid-19;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 xml:space="preserve">Considerando que diversas legislações e medidas adotadas, tanto na esfera federal, estadual e municipal, envolvem a restrição de circulação de pessoas e redução do funcionamento de estabelecimentos, de modo a reduzir a propagação do vírus;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 xml:space="preserve">Considerando a interrupção de atividades de fiscalização física do exercício profissional, bem como de normas edilícias e patrimoniais, executada pelos Conselhos Profissionais, Prefeituras e Órgãos de defesa do Patrimônio Cultural;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 xml:space="preserve">Considerando que a execução de obras sem a devida fiscalização ou acompanhamento técnico adequado podem trazer danos irreversíveis ao ambiente construído, às edificações de interesse histórico e até colocar vidas em risco;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Considerando que a atividade de execução de obras é uma atividade coletiva,</w:t>
      </w:r>
      <w:r>
        <w:rPr>
          <w:rFonts w:ascii="Calibri" w:hAnsi="Calibri" w:cs="Calibri"/>
          <w:sz w:val="24"/>
          <w:szCs w:val="24"/>
        </w:rPr>
        <w:t xml:space="preserve"> de interação pessoal constante</w:t>
      </w:r>
      <w:r w:rsidRPr="00F91711">
        <w:rPr>
          <w:rFonts w:ascii="Calibri" w:hAnsi="Calibri" w:cs="Calibri"/>
          <w:sz w:val="24"/>
          <w:szCs w:val="24"/>
        </w:rPr>
        <w:t xml:space="preserve"> e, portanto, terá muita dificuldade de seguir as principais recomendações da Organização Mundial de Saúde para a prevenção e controle da contaminação; </w:t>
      </w: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F91711" w:rsidRPr="00F91711"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Considerando que a execução de obras exige o contínuo manuseio compartilhado de ferramentas e insumos, sendo responsável ainda por um grande fluxo de veículos independente do porte ao longo das vias públicas realizando movimentos de carga e descarga, e</w:t>
      </w:r>
    </w:p>
    <w:p w:rsidR="00F91711" w:rsidRDefault="00F91711" w:rsidP="00F91711">
      <w:pPr>
        <w:keepLines/>
        <w:autoSpaceDE w:val="0"/>
        <w:autoSpaceDN w:val="0"/>
        <w:adjustRightInd w:val="0"/>
        <w:spacing w:line="240" w:lineRule="auto"/>
        <w:contextualSpacing/>
        <w:jc w:val="both"/>
        <w:rPr>
          <w:rFonts w:ascii="Calibri" w:hAnsi="Calibri" w:cs="Calibri"/>
          <w:sz w:val="24"/>
          <w:szCs w:val="24"/>
        </w:rPr>
      </w:pPr>
    </w:p>
    <w:p w:rsidR="009F3AE6" w:rsidRDefault="00F91711" w:rsidP="00F91711">
      <w:pPr>
        <w:keepLines/>
        <w:autoSpaceDE w:val="0"/>
        <w:autoSpaceDN w:val="0"/>
        <w:adjustRightInd w:val="0"/>
        <w:spacing w:line="240" w:lineRule="auto"/>
        <w:contextualSpacing/>
        <w:jc w:val="both"/>
        <w:rPr>
          <w:rFonts w:ascii="Calibri" w:hAnsi="Calibri" w:cs="Calibri"/>
          <w:sz w:val="24"/>
          <w:szCs w:val="24"/>
        </w:rPr>
      </w:pPr>
      <w:r w:rsidRPr="00F91711">
        <w:rPr>
          <w:rFonts w:ascii="Calibri" w:hAnsi="Calibri" w:cs="Calibri"/>
          <w:sz w:val="24"/>
          <w:szCs w:val="24"/>
        </w:rPr>
        <w:t>Considerando a iminência do agravamento da crise sanitária, devido à vulnerabilidade social em densos e populosos territórios nas cidades, local de moradia de parte significativa dos empregados neste setor;</w:t>
      </w:r>
    </w:p>
    <w:p w:rsidR="00F91711" w:rsidRPr="00F91711" w:rsidRDefault="00F91711" w:rsidP="00F91711">
      <w:pPr>
        <w:keepLines/>
        <w:autoSpaceDE w:val="0"/>
        <w:autoSpaceDN w:val="0"/>
        <w:adjustRightInd w:val="0"/>
        <w:contextualSpacing/>
        <w:jc w:val="both"/>
        <w:rPr>
          <w:rFonts w:ascii="Calibri" w:hAnsi="Calibri" w:cs="Calibri"/>
          <w:bCs/>
          <w:sz w:val="24"/>
          <w:szCs w:val="24"/>
        </w:rPr>
      </w:pPr>
    </w:p>
    <w:p w:rsidR="00F91711" w:rsidRDefault="00E82DF4" w:rsidP="009F3AE6">
      <w:pPr>
        <w:keepLines/>
        <w:autoSpaceDE w:val="0"/>
        <w:autoSpaceDN w:val="0"/>
        <w:adjustRightInd w:val="0"/>
        <w:contextualSpacing/>
        <w:jc w:val="both"/>
        <w:rPr>
          <w:rFonts w:ascii="Calibri" w:hAnsi="Calibri" w:cs="Calibri"/>
          <w:b/>
          <w:bCs/>
          <w:sz w:val="24"/>
          <w:szCs w:val="24"/>
        </w:rPr>
      </w:pPr>
      <w:r w:rsidRPr="00EA05A9">
        <w:rPr>
          <w:rFonts w:ascii="Calibri" w:hAnsi="Calibri" w:cs="Calibri"/>
          <w:b/>
          <w:bCs/>
          <w:sz w:val="24"/>
          <w:szCs w:val="24"/>
        </w:rPr>
        <w:t>DELIBERA:</w:t>
      </w:r>
    </w:p>
    <w:p w:rsidR="00F91711" w:rsidRPr="00EA05A9" w:rsidRDefault="00F91711" w:rsidP="009F3AE6">
      <w:pPr>
        <w:keepLines/>
        <w:autoSpaceDE w:val="0"/>
        <w:autoSpaceDN w:val="0"/>
        <w:adjustRightInd w:val="0"/>
        <w:contextualSpacing/>
        <w:jc w:val="both"/>
        <w:rPr>
          <w:rFonts w:ascii="Calibri" w:hAnsi="Calibri" w:cs="Calibri"/>
          <w:b/>
          <w:bCs/>
          <w:sz w:val="24"/>
          <w:szCs w:val="24"/>
        </w:rPr>
      </w:pP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1. Afixar cartazes em tamanho compatível à leitura e avisos sobre higiene pessoa</w:t>
      </w:r>
      <w:r>
        <w:rPr>
          <w:rFonts w:ascii="Calibri" w:hAnsi="Calibri" w:cs="Calibri"/>
          <w:sz w:val="24"/>
          <w:szCs w:val="24"/>
        </w:rPr>
        <w:t xml:space="preserve">l e comportamento de risco;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lastRenderedPageBreak/>
        <w:t>2. Montar equipes fixas com, no máximo e se possível, 3 funcionários trabalhando ao mesmo tem</w:t>
      </w:r>
      <w:r>
        <w:rPr>
          <w:rFonts w:ascii="Calibri" w:hAnsi="Calibri" w:cs="Calibri"/>
          <w:sz w:val="24"/>
          <w:szCs w:val="24"/>
        </w:rPr>
        <w:t xml:space="preserve">po, mas nunca no mesmo espaço;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 xml:space="preserve">3. Minimizar o trânsito de pessoas entre equipes de </w:t>
      </w:r>
      <w:r>
        <w:rPr>
          <w:rFonts w:ascii="Calibri" w:hAnsi="Calibri" w:cs="Calibri"/>
          <w:sz w:val="24"/>
          <w:szCs w:val="24"/>
        </w:rPr>
        <w:t xml:space="preserve">canteiros de obras diferentes;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4. Disponibilizar máscaras adequada</w:t>
      </w:r>
      <w:r>
        <w:rPr>
          <w:rFonts w:ascii="Calibri" w:hAnsi="Calibri" w:cs="Calibri"/>
          <w:sz w:val="24"/>
          <w:szCs w:val="24"/>
        </w:rPr>
        <w:t xml:space="preserve">s a todos, para uso frequente;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5. Evitar o compartilhamento d</w:t>
      </w:r>
      <w:r>
        <w:rPr>
          <w:rFonts w:ascii="Calibri" w:hAnsi="Calibri" w:cs="Calibri"/>
          <w:sz w:val="24"/>
          <w:szCs w:val="24"/>
        </w:rPr>
        <w:t xml:space="preserve">e instrumentos de uso pessoal;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6. Disponibilizar álcool em gel e sabão líquido a todos na entrada da obra, no canteiro de obras e na entr</w:t>
      </w:r>
      <w:r>
        <w:rPr>
          <w:rFonts w:ascii="Calibri" w:hAnsi="Calibri" w:cs="Calibri"/>
          <w:sz w:val="24"/>
          <w:szCs w:val="24"/>
        </w:rPr>
        <w:t xml:space="preserve">ada dos respectivos banheiros;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 xml:space="preserve">7. Orientar sobre a importância de lavarem as mãos e narinas </w:t>
      </w:r>
      <w:r>
        <w:rPr>
          <w:rFonts w:ascii="Calibri" w:hAnsi="Calibri" w:cs="Calibri"/>
          <w:sz w:val="24"/>
          <w:szCs w:val="24"/>
        </w:rPr>
        <w:t xml:space="preserve">com frequência e corretamente;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8. Orientar e disponibilizar insumos para a adequada higienização das embalagens de materiais de obra (como latas de tinta, sacos de cimento, caixas de revestiment</w:t>
      </w:r>
      <w:r>
        <w:rPr>
          <w:rFonts w:ascii="Calibri" w:hAnsi="Calibri" w:cs="Calibri"/>
          <w:sz w:val="24"/>
          <w:szCs w:val="24"/>
        </w:rPr>
        <w:t xml:space="preserve">os </w:t>
      </w:r>
      <w:proofErr w:type="spellStart"/>
      <w:r>
        <w:rPr>
          <w:rFonts w:ascii="Calibri" w:hAnsi="Calibri" w:cs="Calibri"/>
          <w:sz w:val="24"/>
          <w:szCs w:val="24"/>
        </w:rPr>
        <w:t>etc</w:t>
      </w:r>
      <w:proofErr w:type="spellEnd"/>
      <w:r>
        <w:rPr>
          <w:rFonts w:ascii="Calibri" w:hAnsi="Calibri" w:cs="Calibri"/>
          <w:sz w:val="24"/>
          <w:szCs w:val="24"/>
        </w:rPr>
        <w:t xml:space="preserve">)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9. Disponibilizar copos descartáveis para serem utilizados somente uma ve</w:t>
      </w:r>
      <w:r>
        <w:rPr>
          <w:rFonts w:ascii="Calibri" w:hAnsi="Calibri" w:cs="Calibri"/>
          <w:sz w:val="24"/>
          <w:szCs w:val="24"/>
        </w:rPr>
        <w:t>z, evitando o compartilhamento;</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10. Disponibilizar o recolhimento em separado dos resíduos de uso pessoal com</w:t>
      </w:r>
      <w:r>
        <w:rPr>
          <w:rFonts w:ascii="Calibri" w:hAnsi="Calibri" w:cs="Calibri"/>
          <w:sz w:val="24"/>
          <w:szCs w:val="24"/>
        </w:rPr>
        <w:t xml:space="preserve">o máscaras, luvas, copos, </w:t>
      </w:r>
      <w:proofErr w:type="spellStart"/>
      <w:r>
        <w:rPr>
          <w:rFonts w:ascii="Calibri" w:hAnsi="Calibri" w:cs="Calibri"/>
          <w:sz w:val="24"/>
          <w:szCs w:val="24"/>
        </w:rPr>
        <w:t>etc</w:t>
      </w:r>
      <w:proofErr w:type="spellEnd"/>
      <w:r>
        <w:rPr>
          <w:rFonts w:ascii="Calibri" w:hAnsi="Calibri" w:cs="Calibri"/>
          <w:sz w:val="24"/>
          <w:szCs w:val="24"/>
        </w:rPr>
        <w:t xml:space="preserve">;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 xml:space="preserve">11. Garantir circulação de ar adequada e espaçamento seguro entre trabalhadores em refeitórios, vestiários </w:t>
      </w:r>
      <w:r>
        <w:rPr>
          <w:rFonts w:ascii="Calibri" w:hAnsi="Calibri" w:cs="Calibri"/>
          <w:sz w:val="24"/>
          <w:szCs w:val="24"/>
        </w:rPr>
        <w:t xml:space="preserve">e demais espaços de uso comum;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12. Instituir o transporte solidário, em que apenas uma pessoa seja o motorista responsável, evitando, assim, o uso do transporte público coletivo</w:t>
      </w:r>
      <w:r>
        <w:rPr>
          <w:rFonts w:ascii="Calibri" w:hAnsi="Calibri" w:cs="Calibri"/>
          <w:sz w:val="24"/>
          <w:szCs w:val="24"/>
        </w:rPr>
        <w:t xml:space="preserve">;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13. Evitar contato com o público externo (f</w:t>
      </w:r>
      <w:r>
        <w:rPr>
          <w:rFonts w:ascii="Calibri" w:hAnsi="Calibri" w:cs="Calibri"/>
          <w:sz w:val="24"/>
          <w:szCs w:val="24"/>
        </w:rPr>
        <w:t xml:space="preserve">ornecedores, clientes, </w:t>
      </w:r>
      <w:proofErr w:type="spellStart"/>
      <w:r>
        <w:rPr>
          <w:rFonts w:ascii="Calibri" w:hAnsi="Calibri" w:cs="Calibri"/>
          <w:sz w:val="24"/>
          <w:szCs w:val="24"/>
        </w:rPr>
        <w:t>etc</w:t>
      </w:r>
      <w:proofErr w:type="spellEnd"/>
      <w:r>
        <w:rPr>
          <w:rFonts w:ascii="Calibri" w:hAnsi="Calibri" w:cs="Calibri"/>
          <w:sz w:val="24"/>
          <w:szCs w:val="24"/>
        </w:rPr>
        <w:t xml:space="preserve">), e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 xml:space="preserve">14. Instruir para que todos os trabalhadores devem comunicar ao responsável pela equipe de obra ao primeiro sinal de gripe/resfriado (febre, tosse, coriza, falta de ar, dor no corpo e outros sintomas do COVID-19). </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O CAU/PR ressalta a importância da colaboração de todas as pessoas na redução da disseminação do contágio pelo COVID-19. Nesse momento é importante que tenhamos equilíbrio e discernimento para enfrentar as dificuldades.</w:t>
      </w:r>
    </w:p>
    <w:p w:rsidR="00F91711" w:rsidRPr="00F91711"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p>
    <w:p w:rsidR="00F91711" w:rsidRPr="00EA05A9" w:rsidRDefault="00F91711" w:rsidP="00F91711">
      <w:pPr>
        <w:shd w:val="clear" w:color="auto" w:fill="FFFFFF" w:themeFill="background1"/>
        <w:tabs>
          <w:tab w:val="left" w:pos="0"/>
          <w:tab w:val="left" w:pos="284"/>
          <w:tab w:val="left" w:pos="851"/>
          <w:tab w:val="left" w:leader="hyphen" w:pos="9498"/>
          <w:tab w:val="left" w:leader="hyphen" w:pos="9639"/>
        </w:tabs>
        <w:suppressAutoHyphens/>
        <w:spacing w:after="0" w:line="240" w:lineRule="auto"/>
        <w:ind w:right="-1"/>
        <w:jc w:val="both"/>
        <w:rPr>
          <w:rFonts w:ascii="Calibri" w:hAnsi="Calibri" w:cs="Calibri"/>
          <w:sz w:val="24"/>
          <w:szCs w:val="24"/>
        </w:rPr>
      </w:pPr>
      <w:r w:rsidRPr="00F91711">
        <w:rPr>
          <w:rFonts w:ascii="Calibri" w:hAnsi="Calibri" w:cs="Calibri"/>
          <w:sz w:val="24"/>
          <w:szCs w:val="24"/>
        </w:rPr>
        <w:t xml:space="preserve">Renegocie com empreendedores ou proprietários seus contratos, principalmente no tocante a prazos de entrega de obras ou serviços, mesmo se você exerce atividade autônoma. Se ainda sim for imprescindível continuar com as atividades das suas obras reveja os procedimentos de segurança, disponibilize os </w:t>
      </w:r>
      <w:proofErr w:type="spellStart"/>
      <w:r w:rsidRPr="00F91711">
        <w:rPr>
          <w:rFonts w:ascii="Calibri" w:hAnsi="Calibri" w:cs="Calibri"/>
          <w:sz w:val="24"/>
          <w:szCs w:val="24"/>
        </w:rPr>
        <w:t>EPI´s</w:t>
      </w:r>
      <w:proofErr w:type="spellEnd"/>
      <w:r w:rsidRPr="00F91711">
        <w:rPr>
          <w:rFonts w:ascii="Calibri" w:hAnsi="Calibri" w:cs="Calibri"/>
          <w:sz w:val="24"/>
          <w:szCs w:val="24"/>
        </w:rPr>
        <w:t xml:space="preserve"> necessários e qualquer sinal de manifestação desse vírus entre seus colaboradores, encaminhe-os aos hospitais da sua região.</w:t>
      </w:r>
    </w:p>
    <w:p w:rsidR="00F91711" w:rsidRDefault="00F91711" w:rsidP="00F91711">
      <w:pPr>
        <w:autoSpaceDE w:val="0"/>
        <w:autoSpaceDN w:val="0"/>
        <w:adjustRightInd w:val="0"/>
        <w:spacing w:after="0" w:line="240" w:lineRule="auto"/>
        <w:jc w:val="center"/>
        <w:rPr>
          <w:rFonts w:ascii="Calibri" w:hAnsi="Calibri" w:cs="Calibri"/>
          <w:sz w:val="24"/>
          <w:szCs w:val="24"/>
        </w:rPr>
      </w:pPr>
    </w:p>
    <w:p w:rsidR="00F91711" w:rsidRDefault="00F91711" w:rsidP="00F91711">
      <w:pPr>
        <w:autoSpaceDE w:val="0"/>
        <w:autoSpaceDN w:val="0"/>
        <w:adjustRightInd w:val="0"/>
        <w:spacing w:after="0" w:line="240" w:lineRule="auto"/>
        <w:jc w:val="center"/>
        <w:rPr>
          <w:rFonts w:ascii="Calibri" w:hAnsi="Calibri" w:cs="Calibri"/>
          <w:sz w:val="24"/>
          <w:szCs w:val="24"/>
        </w:rPr>
      </w:pPr>
    </w:p>
    <w:p w:rsidR="0011392C" w:rsidRDefault="00B070F0" w:rsidP="00F91711">
      <w:pPr>
        <w:autoSpaceDE w:val="0"/>
        <w:autoSpaceDN w:val="0"/>
        <w:adjustRightInd w:val="0"/>
        <w:spacing w:after="0" w:line="240" w:lineRule="auto"/>
        <w:jc w:val="right"/>
        <w:rPr>
          <w:rFonts w:ascii="Calibri" w:hAnsi="Calibri" w:cs="Calibri"/>
          <w:sz w:val="24"/>
          <w:szCs w:val="24"/>
        </w:rPr>
      </w:pPr>
      <w:bookmarkStart w:id="0" w:name="_GoBack"/>
      <w:bookmarkEnd w:id="0"/>
      <w:r w:rsidRPr="00EA05A9">
        <w:rPr>
          <w:rFonts w:ascii="Calibri" w:hAnsi="Calibri" w:cs="Calibri"/>
          <w:sz w:val="24"/>
          <w:szCs w:val="24"/>
        </w:rPr>
        <w:t>Curitiba</w:t>
      </w:r>
      <w:r w:rsidR="00EA05A9">
        <w:rPr>
          <w:rFonts w:ascii="Calibri" w:hAnsi="Calibri" w:cs="Calibri"/>
          <w:sz w:val="24"/>
          <w:szCs w:val="24"/>
        </w:rPr>
        <w:t xml:space="preserve"> - PR</w:t>
      </w:r>
      <w:r w:rsidR="00DB11A9" w:rsidRPr="00EA05A9">
        <w:rPr>
          <w:rFonts w:ascii="Calibri" w:hAnsi="Calibri" w:cs="Calibri"/>
          <w:sz w:val="24"/>
          <w:szCs w:val="24"/>
        </w:rPr>
        <w:t xml:space="preserve">, </w:t>
      </w:r>
      <w:r w:rsidR="00F91711">
        <w:rPr>
          <w:rFonts w:ascii="Calibri" w:hAnsi="Calibri" w:cs="Calibri"/>
          <w:sz w:val="24"/>
          <w:szCs w:val="24"/>
        </w:rPr>
        <w:t>20</w:t>
      </w:r>
      <w:r w:rsidR="00513E56" w:rsidRPr="00EA05A9">
        <w:rPr>
          <w:rFonts w:ascii="Calibri" w:hAnsi="Calibri" w:cs="Calibri"/>
          <w:sz w:val="24"/>
          <w:szCs w:val="24"/>
        </w:rPr>
        <w:t xml:space="preserve"> de </w:t>
      </w:r>
      <w:r w:rsidR="00F91711">
        <w:rPr>
          <w:rFonts w:ascii="Calibri" w:hAnsi="Calibri" w:cs="Calibri"/>
          <w:sz w:val="24"/>
          <w:szCs w:val="24"/>
        </w:rPr>
        <w:t>abril</w:t>
      </w:r>
      <w:r w:rsidRPr="00EA05A9">
        <w:rPr>
          <w:rFonts w:ascii="Calibri" w:hAnsi="Calibri" w:cs="Calibri"/>
          <w:sz w:val="24"/>
          <w:szCs w:val="24"/>
        </w:rPr>
        <w:t xml:space="preserve"> </w:t>
      </w:r>
      <w:r w:rsidR="00DB11A9" w:rsidRPr="00EA05A9">
        <w:rPr>
          <w:rFonts w:ascii="Calibri" w:hAnsi="Calibri" w:cs="Calibri"/>
          <w:sz w:val="24"/>
          <w:szCs w:val="24"/>
        </w:rPr>
        <w:t xml:space="preserve">de </w:t>
      </w:r>
      <w:r w:rsidR="00F91711">
        <w:rPr>
          <w:rFonts w:ascii="Calibri" w:hAnsi="Calibri" w:cs="Calibri"/>
          <w:sz w:val="24"/>
          <w:szCs w:val="24"/>
        </w:rPr>
        <w:t>2020</w:t>
      </w:r>
    </w:p>
    <w:p w:rsidR="00284885" w:rsidRDefault="00284885" w:rsidP="00F91711">
      <w:pPr>
        <w:autoSpaceDE w:val="0"/>
        <w:autoSpaceDN w:val="0"/>
        <w:adjustRightInd w:val="0"/>
        <w:spacing w:after="0" w:line="240" w:lineRule="auto"/>
        <w:rPr>
          <w:rFonts w:ascii="Calibri" w:hAnsi="Calibri" w:cs="Calibri"/>
          <w:b/>
          <w:sz w:val="24"/>
          <w:szCs w:val="24"/>
        </w:rPr>
      </w:pPr>
    </w:p>
    <w:p w:rsidR="00284885" w:rsidRDefault="00284885" w:rsidP="00F91711">
      <w:pPr>
        <w:autoSpaceDE w:val="0"/>
        <w:autoSpaceDN w:val="0"/>
        <w:adjustRightInd w:val="0"/>
        <w:spacing w:after="0" w:line="240" w:lineRule="auto"/>
        <w:rPr>
          <w:rFonts w:ascii="Calibri" w:hAnsi="Calibri" w:cs="Calibri"/>
          <w:b/>
          <w:sz w:val="24"/>
          <w:szCs w:val="24"/>
        </w:rPr>
      </w:pPr>
    </w:p>
    <w:p w:rsidR="00F91711" w:rsidRDefault="00F91711" w:rsidP="00F91711">
      <w:pPr>
        <w:autoSpaceDE w:val="0"/>
        <w:autoSpaceDN w:val="0"/>
        <w:adjustRightInd w:val="0"/>
        <w:spacing w:after="0" w:line="240" w:lineRule="auto"/>
        <w:jc w:val="center"/>
        <w:rPr>
          <w:rFonts w:ascii="Calibri" w:hAnsi="Calibri" w:cs="Calibri"/>
          <w:b/>
          <w:sz w:val="24"/>
          <w:szCs w:val="24"/>
        </w:rPr>
      </w:pPr>
    </w:p>
    <w:p w:rsidR="003259A7" w:rsidRPr="003259A7" w:rsidRDefault="00F91711" w:rsidP="00F91711">
      <w:pPr>
        <w:autoSpaceDE w:val="0"/>
        <w:autoSpaceDN w:val="0"/>
        <w:adjustRightInd w:val="0"/>
        <w:spacing w:after="0" w:line="240" w:lineRule="auto"/>
        <w:jc w:val="center"/>
        <w:rPr>
          <w:rFonts w:ascii="Calibri" w:hAnsi="Calibri" w:cs="Calibri"/>
          <w:sz w:val="24"/>
          <w:szCs w:val="24"/>
        </w:rPr>
      </w:pPr>
      <w:r>
        <w:rPr>
          <w:rFonts w:ascii="Calibri" w:hAnsi="Calibri" w:cs="Calibri"/>
          <w:b/>
          <w:sz w:val="24"/>
          <w:szCs w:val="24"/>
        </w:rPr>
        <w:t>MARGARETH ZIOLLA MENEZES</w:t>
      </w:r>
    </w:p>
    <w:p w:rsidR="00284885" w:rsidRPr="00CF5E40" w:rsidRDefault="003259A7" w:rsidP="00284885">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Presidente</w:t>
      </w:r>
      <w:r w:rsidR="00F91711">
        <w:rPr>
          <w:rFonts w:ascii="Calibri" w:hAnsi="Calibri" w:cs="Calibri"/>
          <w:sz w:val="24"/>
          <w:szCs w:val="24"/>
        </w:rPr>
        <w:t xml:space="preserve"> do CAU/PR</w:t>
      </w:r>
    </w:p>
    <w:p w:rsidR="00146B87" w:rsidRPr="00CF5E40" w:rsidRDefault="00146B87" w:rsidP="005C0995">
      <w:pPr>
        <w:autoSpaceDE w:val="0"/>
        <w:autoSpaceDN w:val="0"/>
        <w:adjustRightInd w:val="0"/>
        <w:spacing w:after="0" w:line="240" w:lineRule="auto"/>
        <w:rPr>
          <w:rFonts w:ascii="Calibri" w:hAnsi="Calibri" w:cs="Calibri"/>
          <w:sz w:val="24"/>
          <w:szCs w:val="24"/>
        </w:rPr>
      </w:pPr>
    </w:p>
    <w:sectPr w:rsidR="00146B87" w:rsidRPr="00CF5E40" w:rsidSect="00F9171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EE" w:rsidRDefault="00CD59EE" w:rsidP="006C2169">
      <w:pPr>
        <w:spacing w:after="0" w:line="240" w:lineRule="auto"/>
      </w:pPr>
      <w:r>
        <w:separator/>
      </w:r>
    </w:p>
  </w:endnote>
  <w:endnote w:type="continuationSeparator" w:id="0">
    <w:p w:rsidR="00CD59EE" w:rsidRDefault="00CD59EE"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5B" w:rsidRDefault="00A17E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69" w:rsidRPr="00320662" w:rsidRDefault="006C2169" w:rsidP="006C2169">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rsidR="006C2169" w:rsidRPr="00B1747A" w:rsidRDefault="006C2169" w:rsidP="006C2169">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Pr>
        <w:b/>
        <w:color w:val="A6A6A6" w:themeColor="background1" w:themeShade="A6"/>
        <w:sz w:val="18"/>
      </w:rPr>
      <w:t xml:space="preserve">| </w:t>
    </w:r>
    <w:r w:rsidRPr="00B1747A">
      <w:rPr>
        <w:b/>
        <w:color w:val="A6A6A6" w:themeColor="background1" w:themeShade="A6"/>
        <w:sz w:val="18"/>
      </w:rPr>
      <w:t xml:space="preserve">80045-360 </w:t>
    </w:r>
    <w:r>
      <w:rPr>
        <w:b/>
        <w:color w:val="A6A6A6" w:themeColor="background1" w:themeShade="A6"/>
        <w:sz w:val="18"/>
      </w:rPr>
      <w:t>|</w:t>
    </w:r>
    <w:r w:rsidRPr="00B1747A">
      <w:rPr>
        <w:b/>
        <w:color w:val="A6A6A6" w:themeColor="background1" w:themeShade="A6"/>
        <w:sz w:val="18"/>
      </w:rPr>
      <w:t xml:space="preserve"> Curitiba</w:t>
    </w:r>
    <w:r>
      <w:rPr>
        <w:b/>
        <w:color w:val="A6A6A6" w:themeColor="background1" w:themeShade="A6"/>
        <w:sz w:val="18"/>
      </w:rPr>
      <w:t xml:space="preserve">, </w:t>
    </w:r>
    <w:r w:rsidRPr="00B1747A">
      <w:rPr>
        <w:b/>
        <w:color w:val="A6A6A6" w:themeColor="background1" w:themeShade="A6"/>
        <w:sz w:val="18"/>
      </w:rPr>
      <w:t>PR</w:t>
    </w:r>
    <w:r>
      <w:rPr>
        <w:b/>
        <w:color w:val="A6A6A6" w:themeColor="background1" w:themeShade="A6"/>
        <w:sz w:val="18"/>
      </w:rPr>
      <w:t xml:space="preserve"> |</w:t>
    </w:r>
    <w:r w:rsidRPr="00B1747A">
      <w:rPr>
        <w:b/>
        <w:color w:val="A6A6A6" w:themeColor="background1" w:themeShade="A6"/>
        <w:sz w:val="18"/>
      </w:rPr>
      <w:t xml:space="preserve"> Fone:</w:t>
    </w:r>
    <w:r>
      <w:rPr>
        <w:b/>
        <w:color w:val="A6A6A6" w:themeColor="background1" w:themeShade="A6"/>
        <w:sz w:val="18"/>
      </w:rPr>
      <w:t xml:space="preserve"> +55</w:t>
    </w:r>
    <w:r w:rsidRPr="00B1747A">
      <w:rPr>
        <w:b/>
        <w:color w:val="A6A6A6" w:themeColor="background1" w:themeShade="A6"/>
        <w:sz w:val="18"/>
      </w:rPr>
      <w:t xml:space="preserve"> </w:t>
    </w:r>
    <w:r>
      <w:rPr>
        <w:b/>
        <w:color w:val="A6A6A6" w:themeColor="background1" w:themeShade="A6"/>
        <w:sz w:val="18"/>
      </w:rPr>
      <w:t>(</w:t>
    </w:r>
    <w:r w:rsidRPr="00B1747A">
      <w:rPr>
        <w:b/>
        <w:color w:val="A6A6A6" w:themeColor="background1" w:themeShade="A6"/>
        <w:sz w:val="18"/>
      </w:rPr>
      <w:t>41</w:t>
    </w:r>
    <w:r>
      <w:rPr>
        <w:b/>
        <w:color w:val="A6A6A6" w:themeColor="background1" w:themeShade="A6"/>
        <w:sz w:val="18"/>
      </w:rPr>
      <w:t>)</w:t>
    </w:r>
    <w:r w:rsidRPr="00B1747A">
      <w:rPr>
        <w:b/>
        <w:color w:val="A6A6A6" w:themeColor="background1" w:themeShade="A6"/>
        <w:sz w:val="18"/>
      </w:rPr>
      <w:t xml:space="preserve"> 3218-0200</w:t>
    </w:r>
  </w:p>
  <w:p w:rsidR="006C2169" w:rsidRPr="00B1747A"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Pr>
        <w:color w:val="A6A6A6" w:themeColor="background1" w:themeShade="A6"/>
        <w:spacing w:val="-6"/>
        <w:sz w:val="16"/>
      </w:rPr>
      <w:t>Manoel Ribas, 2.720</w:t>
    </w:r>
    <w:r w:rsidRPr="00B1747A">
      <w:rPr>
        <w:color w:val="A6A6A6" w:themeColor="background1" w:themeShade="A6"/>
        <w:spacing w:val="-6"/>
        <w:sz w:val="16"/>
      </w:rPr>
      <w:t>, CEP 858</w:t>
    </w:r>
    <w:r>
      <w:rPr>
        <w:color w:val="A6A6A6" w:themeColor="background1" w:themeShade="A6"/>
        <w:spacing w:val="-6"/>
        <w:sz w:val="16"/>
      </w:rPr>
      <w:t>10</w:t>
    </w:r>
    <w:r w:rsidRPr="00B1747A">
      <w:rPr>
        <w:color w:val="A6A6A6" w:themeColor="background1" w:themeShade="A6"/>
        <w:spacing w:val="-6"/>
        <w:sz w:val="16"/>
      </w:rPr>
      <w:t>-</w:t>
    </w:r>
    <w:r>
      <w:rPr>
        <w:color w:val="A6A6A6" w:themeColor="background1" w:themeShade="A6"/>
        <w:spacing w:val="-6"/>
        <w:sz w:val="16"/>
      </w:rPr>
      <w:t>170</w:t>
    </w:r>
    <w:r w:rsidRPr="00B1747A">
      <w:rPr>
        <w:color w:val="A6A6A6" w:themeColor="background1" w:themeShade="A6"/>
        <w:spacing w:val="-6"/>
        <w:sz w:val="16"/>
      </w:rPr>
      <w:t xml:space="preserve"> - Fone: 45 3229-6546 | Londrina: Rua Paranaguá, 300, Sala 5, CEP 86020-030 -  Fone: 43 3039-0035</w:t>
    </w:r>
  </w:p>
  <w:p w:rsidR="006C2169"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 Fone: 44 3262-5439 | Pato Branco: Rua Itabira, 1.804, CEP 85504-430 - Fone: 46 3025-2622</w:t>
    </w:r>
  </w:p>
  <w:p w:rsidR="006C2169" w:rsidRDefault="006C216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5B" w:rsidRDefault="00A17E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EE" w:rsidRDefault="00CD59EE" w:rsidP="006C2169">
      <w:pPr>
        <w:spacing w:after="0" w:line="240" w:lineRule="auto"/>
      </w:pPr>
      <w:r>
        <w:separator/>
      </w:r>
    </w:p>
  </w:footnote>
  <w:footnote w:type="continuationSeparator" w:id="0">
    <w:p w:rsidR="00CD59EE" w:rsidRDefault="00CD59EE" w:rsidP="006C2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5B" w:rsidRDefault="00A17E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5B" w:rsidRDefault="00A17E5B">
    <w:pPr>
      <w:pStyle w:val="Cabealho"/>
    </w:pPr>
    <w:r>
      <w:rPr>
        <w:noProof/>
        <w:lang w:eastAsia="pt-BR"/>
      </w:rPr>
      <w:drawing>
        <wp:inline distT="0" distB="0" distL="0" distR="0">
          <wp:extent cx="5400040" cy="63055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inline>
      </w:drawing>
    </w:r>
  </w:p>
  <w:p w:rsidR="00A17E5B" w:rsidRDefault="00A17E5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5B" w:rsidRDefault="00A17E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26A7F"/>
    <w:multiLevelType w:val="hybridMultilevel"/>
    <w:tmpl w:val="9DA8A5C2"/>
    <w:lvl w:ilvl="0" w:tplc="470C17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3C9284A"/>
    <w:multiLevelType w:val="hybridMultilevel"/>
    <w:tmpl w:val="DCD2F962"/>
    <w:lvl w:ilvl="0" w:tplc="8C228B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188A"/>
    <w:rsid w:val="00006F89"/>
    <w:rsid w:val="00012EF0"/>
    <w:rsid w:val="000214D6"/>
    <w:rsid w:val="00023DF8"/>
    <w:rsid w:val="00036783"/>
    <w:rsid w:val="0004469D"/>
    <w:rsid w:val="00062420"/>
    <w:rsid w:val="000666AE"/>
    <w:rsid w:val="00067ABA"/>
    <w:rsid w:val="0007485C"/>
    <w:rsid w:val="000848F9"/>
    <w:rsid w:val="000D2CE8"/>
    <w:rsid w:val="000D7313"/>
    <w:rsid w:val="0011392C"/>
    <w:rsid w:val="001148B5"/>
    <w:rsid w:val="00126F75"/>
    <w:rsid w:val="00146B87"/>
    <w:rsid w:val="001772BE"/>
    <w:rsid w:val="001A1DA6"/>
    <w:rsid w:val="001B0B25"/>
    <w:rsid w:val="001B66EA"/>
    <w:rsid w:val="001C1D61"/>
    <w:rsid w:val="001C2F28"/>
    <w:rsid w:val="001D06E1"/>
    <w:rsid w:val="001E4704"/>
    <w:rsid w:val="002047C4"/>
    <w:rsid w:val="002077DB"/>
    <w:rsid w:val="00210AF9"/>
    <w:rsid w:val="00216C80"/>
    <w:rsid w:val="002222E8"/>
    <w:rsid w:val="00225BE8"/>
    <w:rsid w:val="0022648C"/>
    <w:rsid w:val="002279C1"/>
    <w:rsid w:val="0025392D"/>
    <w:rsid w:val="00284885"/>
    <w:rsid w:val="002936B0"/>
    <w:rsid w:val="00297C37"/>
    <w:rsid w:val="002A63F5"/>
    <w:rsid w:val="002D1485"/>
    <w:rsid w:val="002E186A"/>
    <w:rsid w:val="003259A7"/>
    <w:rsid w:val="00342FA7"/>
    <w:rsid w:val="00351F1E"/>
    <w:rsid w:val="00366E02"/>
    <w:rsid w:val="00393092"/>
    <w:rsid w:val="003B5D40"/>
    <w:rsid w:val="003C45D8"/>
    <w:rsid w:val="003E35B4"/>
    <w:rsid w:val="003F0D9D"/>
    <w:rsid w:val="00404589"/>
    <w:rsid w:val="00436C6E"/>
    <w:rsid w:val="00461AC3"/>
    <w:rsid w:val="004814EA"/>
    <w:rsid w:val="00483AC2"/>
    <w:rsid w:val="00493F23"/>
    <w:rsid w:val="004A0777"/>
    <w:rsid w:val="004A0BFD"/>
    <w:rsid w:val="004A3952"/>
    <w:rsid w:val="004B191F"/>
    <w:rsid w:val="004B3F82"/>
    <w:rsid w:val="004C4166"/>
    <w:rsid w:val="004E005B"/>
    <w:rsid w:val="0050748A"/>
    <w:rsid w:val="00513160"/>
    <w:rsid w:val="00513E56"/>
    <w:rsid w:val="00525FE6"/>
    <w:rsid w:val="00554059"/>
    <w:rsid w:val="005818EB"/>
    <w:rsid w:val="0058708E"/>
    <w:rsid w:val="005B48EA"/>
    <w:rsid w:val="005C0995"/>
    <w:rsid w:val="005C558D"/>
    <w:rsid w:val="005D2F14"/>
    <w:rsid w:val="00615726"/>
    <w:rsid w:val="00674522"/>
    <w:rsid w:val="006831E3"/>
    <w:rsid w:val="006A22F0"/>
    <w:rsid w:val="006A759A"/>
    <w:rsid w:val="006B1749"/>
    <w:rsid w:val="006B4977"/>
    <w:rsid w:val="006C2169"/>
    <w:rsid w:val="006E0F75"/>
    <w:rsid w:val="006F5032"/>
    <w:rsid w:val="007071A9"/>
    <w:rsid w:val="007261C0"/>
    <w:rsid w:val="007457AA"/>
    <w:rsid w:val="00746729"/>
    <w:rsid w:val="00752F3E"/>
    <w:rsid w:val="007865FC"/>
    <w:rsid w:val="007C1833"/>
    <w:rsid w:val="007C47B6"/>
    <w:rsid w:val="00805471"/>
    <w:rsid w:val="008165CE"/>
    <w:rsid w:val="0083185A"/>
    <w:rsid w:val="008669E4"/>
    <w:rsid w:val="00892771"/>
    <w:rsid w:val="008942B6"/>
    <w:rsid w:val="008B2B79"/>
    <w:rsid w:val="008F43D9"/>
    <w:rsid w:val="0094518F"/>
    <w:rsid w:val="009458FA"/>
    <w:rsid w:val="0096409C"/>
    <w:rsid w:val="009640B0"/>
    <w:rsid w:val="009773D2"/>
    <w:rsid w:val="00984E7C"/>
    <w:rsid w:val="00996224"/>
    <w:rsid w:val="009A0601"/>
    <w:rsid w:val="009A593A"/>
    <w:rsid w:val="009D455C"/>
    <w:rsid w:val="009F3AE6"/>
    <w:rsid w:val="00A01A9C"/>
    <w:rsid w:val="00A17E5B"/>
    <w:rsid w:val="00A35588"/>
    <w:rsid w:val="00A44CA2"/>
    <w:rsid w:val="00A772CD"/>
    <w:rsid w:val="00A81583"/>
    <w:rsid w:val="00A838D9"/>
    <w:rsid w:val="00A863E8"/>
    <w:rsid w:val="00A905D2"/>
    <w:rsid w:val="00AB4485"/>
    <w:rsid w:val="00AC0CD7"/>
    <w:rsid w:val="00AD01DB"/>
    <w:rsid w:val="00AD0CCA"/>
    <w:rsid w:val="00AF317A"/>
    <w:rsid w:val="00B070F0"/>
    <w:rsid w:val="00B13501"/>
    <w:rsid w:val="00B209A8"/>
    <w:rsid w:val="00B40ED0"/>
    <w:rsid w:val="00B52591"/>
    <w:rsid w:val="00B60E5E"/>
    <w:rsid w:val="00B6365E"/>
    <w:rsid w:val="00B639B0"/>
    <w:rsid w:val="00B748A5"/>
    <w:rsid w:val="00B935B5"/>
    <w:rsid w:val="00B93F86"/>
    <w:rsid w:val="00B953A3"/>
    <w:rsid w:val="00BA0D6A"/>
    <w:rsid w:val="00BA110E"/>
    <w:rsid w:val="00BB0610"/>
    <w:rsid w:val="00BB5081"/>
    <w:rsid w:val="00BD15FE"/>
    <w:rsid w:val="00BE3ECC"/>
    <w:rsid w:val="00BF15E1"/>
    <w:rsid w:val="00C14A2D"/>
    <w:rsid w:val="00C2016F"/>
    <w:rsid w:val="00C21F12"/>
    <w:rsid w:val="00C258EC"/>
    <w:rsid w:val="00C30749"/>
    <w:rsid w:val="00C33669"/>
    <w:rsid w:val="00C40CD0"/>
    <w:rsid w:val="00C41EBD"/>
    <w:rsid w:val="00C82F5E"/>
    <w:rsid w:val="00C90CAD"/>
    <w:rsid w:val="00CA1B90"/>
    <w:rsid w:val="00CA47C6"/>
    <w:rsid w:val="00CB0AD3"/>
    <w:rsid w:val="00CD59EE"/>
    <w:rsid w:val="00CF5E40"/>
    <w:rsid w:val="00D04AF6"/>
    <w:rsid w:val="00D545BB"/>
    <w:rsid w:val="00D56F81"/>
    <w:rsid w:val="00D72050"/>
    <w:rsid w:val="00DA3D9A"/>
    <w:rsid w:val="00DB11A9"/>
    <w:rsid w:val="00DD0107"/>
    <w:rsid w:val="00DE02E7"/>
    <w:rsid w:val="00DE4BBA"/>
    <w:rsid w:val="00DE78DD"/>
    <w:rsid w:val="00E17BEE"/>
    <w:rsid w:val="00E37170"/>
    <w:rsid w:val="00E409C4"/>
    <w:rsid w:val="00E45DE6"/>
    <w:rsid w:val="00E603C8"/>
    <w:rsid w:val="00E71DF3"/>
    <w:rsid w:val="00E72EFD"/>
    <w:rsid w:val="00E7731F"/>
    <w:rsid w:val="00E81E4D"/>
    <w:rsid w:val="00E82DF4"/>
    <w:rsid w:val="00E946B4"/>
    <w:rsid w:val="00EA05A9"/>
    <w:rsid w:val="00EC4D34"/>
    <w:rsid w:val="00EC6551"/>
    <w:rsid w:val="00ED367A"/>
    <w:rsid w:val="00ED599A"/>
    <w:rsid w:val="00ED599B"/>
    <w:rsid w:val="00EE239C"/>
    <w:rsid w:val="00EE2408"/>
    <w:rsid w:val="00EE55BC"/>
    <w:rsid w:val="00EF11E0"/>
    <w:rsid w:val="00EF40AA"/>
    <w:rsid w:val="00EF4788"/>
    <w:rsid w:val="00F05A64"/>
    <w:rsid w:val="00F214D7"/>
    <w:rsid w:val="00F334B7"/>
    <w:rsid w:val="00F55698"/>
    <w:rsid w:val="00F72058"/>
    <w:rsid w:val="00F91711"/>
    <w:rsid w:val="00F95794"/>
    <w:rsid w:val="00FA2E68"/>
    <w:rsid w:val="00FA510A"/>
    <w:rsid w:val="00FD1A31"/>
    <w:rsid w:val="00FD7C32"/>
    <w:rsid w:val="00FF5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2F85F-AA59-4A26-BD6B-B0D09637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C41D-0CAC-4F10-9E42-13BA30B3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cp:lastModifiedBy>
  <cp:revision>3</cp:revision>
  <cp:lastPrinted>2019-09-20T14:05:00Z</cp:lastPrinted>
  <dcterms:created xsi:type="dcterms:W3CDTF">2020-04-30T20:01:00Z</dcterms:created>
  <dcterms:modified xsi:type="dcterms:W3CDTF">2020-04-30T20:12:00Z</dcterms:modified>
</cp:coreProperties>
</file>