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3D" w:rsidRPr="00627B3B" w:rsidRDefault="00024F3D" w:rsidP="00F263AB">
      <w:pPr>
        <w:jc w:val="center"/>
        <w:rPr>
          <w:rFonts w:ascii="Times New Roman" w:hAnsi="Times New Roman" w:cs="Times New Roman"/>
          <w:b/>
        </w:rPr>
      </w:pPr>
    </w:p>
    <w:p w:rsidR="00024F3D" w:rsidRPr="00627B3B" w:rsidRDefault="00641569" w:rsidP="00F263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PORTARIA NORMATIRA Nº </w:t>
      </w:r>
      <w:r w:rsidR="00D9055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/2020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</w:p>
    <w:p w:rsidR="00024F3D" w:rsidRPr="00627B3B" w:rsidRDefault="00641569" w:rsidP="00F263A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D0BC0" w:rsidRPr="00627B3B">
        <w:rPr>
          <w:rFonts w:ascii="Times New Roman" w:hAnsi="Times New Roman"/>
          <w:sz w:val="24"/>
          <w:szCs w:val="24"/>
        </w:rPr>
        <w:t>egulamenta</w:t>
      </w:r>
      <w:r w:rsidR="00024F3D" w:rsidRPr="00627B3B">
        <w:rPr>
          <w:rFonts w:ascii="Times New Roman" w:hAnsi="Times New Roman"/>
          <w:sz w:val="24"/>
          <w:szCs w:val="24"/>
        </w:rPr>
        <w:t xml:space="preserve"> o pagamento de honorários advocatícios de sucumbência no âmbito do Conselho de Arquitetura e Urbanismo do Paraná - CAU/PR.</w:t>
      </w:r>
    </w:p>
    <w:p w:rsidR="00024F3D" w:rsidRPr="00627B3B" w:rsidRDefault="00024F3D" w:rsidP="00F263A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24F3D" w:rsidRPr="00641569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A Presidente do Conselho de Arquitetura e Urbanismo do Paraná – CAU/PR, no uso das atribuições legais previstas no art. 35, inciso III da Lei nº 12.378/2010 e no art.</w:t>
      </w:r>
      <w:r w:rsidR="00417B2F" w:rsidRPr="00627B3B">
        <w:rPr>
          <w:rFonts w:ascii="Times New Roman" w:hAnsi="Times New Roman"/>
          <w:sz w:val="24"/>
          <w:szCs w:val="24"/>
        </w:rPr>
        <w:t xml:space="preserve"> 158</w:t>
      </w:r>
      <w:r w:rsidR="00641569">
        <w:rPr>
          <w:rFonts w:ascii="Times New Roman" w:hAnsi="Times New Roman"/>
          <w:sz w:val="24"/>
          <w:szCs w:val="24"/>
        </w:rPr>
        <w:t xml:space="preserve">, incisos I e </w:t>
      </w:r>
      <w:r w:rsidR="00641569" w:rsidRPr="00641569">
        <w:rPr>
          <w:rFonts w:ascii="Times New Roman" w:hAnsi="Times New Roman"/>
          <w:sz w:val="24"/>
          <w:szCs w:val="24"/>
        </w:rPr>
        <w:t>XLV</w:t>
      </w:r>
      <w:r w:rsidRPr="00641569">
        <w:rPr>
          <w:rFonts w:ascii="Times New Roman" w:hAnsi="Times New Roman"/>
          <w:sz w:val="24"/>
          <w:szCs w:val="24"/>
        </w:rPr>
        <w:t xml:space="preserve"> e art.</w:t>
      </w:r>
      <w:r w:rsidR="00417B2F" w:rsidRPr="00641569">
        <w:rPr>
          <w:rFonts w:ascii="Times New Roman" w:hAnsi="Times New Roman"/>
          <w:sz w:val="24"/>
          <w:szCs w:val="24"/>
        </w:rPr>
        <w:t xml:space="preserve"> 159</w:t>
      </w:r>
      <w:r w:rsidRPr="00641569">
        <w:rPr>
          <w:rFonts w:ascii="Times New Roman" w:hAnsi="Times New Roman"/>
          <w:sz w:val="24"/>
          <w:szCs w:val="24"/>
        </w:rPr>
        <w:t>, do Regimento Interno do CAU/PR, e ainda,</w:t>
      </w:r>
    </w:p>
    <w:p w:rsidR="00024F3D" w:rsidRPr="00641569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641569" w:rsidRPr="00641569" w:rsidRDefault="00641569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41569">
        <w:rPr>
          <w:rFonts w:ascii="Times New Roman" w:hAnsi="Times New Roman"/>
          <w:sz w:val="24"/>
          <w:szCs w:val="24"/>
        </w:rPr>
        <w:t>Considerando que compete a Presidência do CAU/PR, nos termos do art. 158, I, cumprir e fazer cumprir a legislação federal;</w:t>
      </w:r>
    </w:p>
    <w:p w:rsidR="00641569" w:rsidRPr="00641569" w:rsidRDefault="00641569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41569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41569">
        <w:rPr>
          <w:rFonts w:ascii="Times New Roman" w:hAnsi="Times New Roman"/>
          <w:sz w:val="24"/>
          <w:szCs w:val="24"/>
        </w:rPr>
        <w:t>Considerando a entrada em vigor do novo Código de Processo Civil (Lei 13.105/15), em 18 de março de 2016;</w:t>
      </w:r>
    </w:p>
    <w:p w:rsidR="00024F3D" w:rsidRPr="00641569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que o § 19, do art. 85, do Código de Processo Civil prescreve que “</w:t>
      </w:r>
      <w:r w:rsidRPr="00627B3B">
        <w:rPr>
          <w:rFonts w:ascii="Times New Roman" w:hAnsi="Times New Roman"/>
          <w:i/>
          <w:sz w:val="24"/>
          <w:szCs w:val="24"/>
        </w:rPr>
        <w:t>os advogados públicos perceberão honorários de sucumbência, nos termos da lei</w:t>
      </w:r>
      <w:r w:rsidRPr="00627B3B">
        <w:rPr>
          <w:rFonts w:ascii="Times New Roman" w:hAnsi="Times New Roman"/>
          <w:sz w:val="24"/>
          <w:szCs w:val="24"/>
        </w:rPr>
        <w:t>”;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o que dispõe a norma do § 14, do mesmo art. 85, do Código de Processo Civil, segundo a qual “</w:t>
      </w:r>
      <w:r w:rsidRPr="00627B3B">
        <w:rPr>
          <w:rFonts w:ascii="Times New Roman" w:hAnsi="Times New Roman"/>
          <w:i/>
          <w:sz w:val="24"/>
          <w:szCs w:val="24"/>
        </w:rPr>
        <w:t>os honorários constituem direito do advogado e têm natureza alimentar, com os mesmos privilégios dos créditos da legislação do trabalho, sendo vedada a compensação em caso de sucumbência parcial</w:t>
      </w:r>
      <w:r w:rsidRPr="00627B3B">
        <w:rPr>
          <w:rFonts w:ascii="Times New Roman" w:hAnsi="Times New Roman"/>
          <w:sz w:val="24"/>
          <w:szCs w:val="24"/>
        </w:rPr>
        <w:t>”;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a entrada em vigor da Lei n° 13.327, de 2016, que dispõe sobre honorários advocatícios de sucumbência das causas em que forem parte a União, suas autarquias e fundações;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a revogação do art. 4° da Lei Federal n° 9.527/1997 a qual veda a aplicação do Capítulo V, Título I, da Lei Federal n° 8.906/94 às autarquias;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7B3B">
        <w:rPr>
          <w:rFonts w:ascii="Times New Roman" w:hAnsi="Times New Roman"/>
          <w:sz w:val="24"/>
          <w:szCs w:val="24"/>
        </w:rPr>
        <w:t>Considerando que o Supremo Tribunal Federal, no julgamento da ADI 6053, decidiu que é constitucional o pagamento de honorários de sucumbência a advogados públicos</w:t>
      </w:r>
      <w:r w:rsidRPr="00627B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o que dispõe a Súmula Vinculante n° 47 do Colendo Supremo Tribunal Federal, aprovada na Sessão Plenária de 27/05/2015, segundo a qual “</w:t>
      </w:r>
      <w:r w:rsidRPr="00627B3B">
        <w:rPr>
          <w:rFonts w:ascii="Times New Roman" w:hAnsi="Times New Roman"/>
          <w:i/>
          <w:sz w:val="24"/>
          <w:szCs w:val="24"/>
        </w:rPr>
        <w:t>os honorários advocatícios incluídos na condenação ou destacados do montante principal devido ao credor consubstanciam verba de natureza alimentar cuja satisfação ocorrerá com a expedição de precatório ou requisição de pequeno valor, observada ordem especial restrita aos créditos dessa natureza</w:t>
      </w:r>
      <w:r w:rsidRPr="00627B3B">
        <w:rPr>
          <w:rFonts w:ascii="Times New Roman" w:hAnsi="Times New Roman"/>
          <w:sz w:val="24"/>
          <w:szCs w:val="24"/>
        </w:rPr>
        <w:t xml:space="preserve">”, e que possui efeito vinculante em relação aos demais órgãos do Poder Judiciário e à Administração Pública direta e indireta, nas esferas federal, estadual e municipal (art. 103-A, da Constituição da República Federativa do Brasil); 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que o art. 21 da Lei Federal n° 8.906/1994 (localizado no Capítulo V, Título I) dispõe que “</w:t>
      </w:r>
      <w:r w:rsidRPr="00627B3B">
        <w:rPr>
          <w:rFonts w:ascii="Times New Roman" w:hAnsi="Times New Roman"/>
          <w:i/>
          <w:sz w:val="24"/>
          <w:szCs w:val="24"/>
        </w:rPr>
        <w:t>os honorários de sucumbência são devidos aos advogados empregados”</w:t>
      </w:r>
      <w:r w:rsidRPr="00627B3B">
        <w:rPr>
          <w:rFonts w:ascii="Times New Roman" w:hAnsi="Times New Roman"/>
          <w:sz w:val="24"/>
          <w:szCs w:val="24"/>
        </w:rPr>
        <w:t>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que, com a revogação do art. 4° da Lei Federal n° 9.527/1997, o art. 21 da Lei Federal n° 8.906/1994 voltou a ser aplicado às autarquias;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que o art. 22 da Lei 8.906/1994 dispõe que “</w:t>
      </w:r>
      <w:r w:rsidRPr="00627B3B">
        <w:rPr>
          <w:rFonts w:ascii="Times New Roman" w:hAnsi="Times New Roman"/>
          <w:i/>
          <w:sz w:val="24"/>
          <w:szCs w:val="24"/>
        </w:rPr>
        <w:t>A prestação de serviço profissional assegura aos inscritos na OAB o direito aos honorários convencionados, aos fixados por arbitramento judicial e aos de sucumbência</w:t>
      </w:r>
      <w:r w:rsidRPr="00627B3B">
        <w:rPr>
          <w:rFonts w:ascii="Times New Roman" w:hAnsi="Times New Roman"/>
          <w:sz w:val="24"/>
          <w:szCs w:val="24"/>
        </w:rPr>
        <w:t>”;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que o Regulamento Geral do Estatuto da Advocacia e da OAB, de 16 de outubro de 1994, do Conselho Federal da OAB, dispõe no art. 14, parágrafo único que “</w:t>
      </w:r>
      <w:r w:rsidRPr="00627B3B">
        <w:rPr>
          <w:rFonts w:ascii="Times New Roman" w:hAnsi="Times New Roman"/>
          <w:i/>
          <w:sz w:val="24"/>
          <w:szCs w:val="24"/>
        </w:rPr>
        <w:t>Os honorários dos advogados empregados constituem fundo comum, cuja destinação é decidida pelos profissionais integrantes do serviço jurídico da empresa ou por seus representantes</w:t>
      </w:r>
      <w:r w:rsidRPr="00627B3B">
        <w:rPr>
          <w:rFonts w:ascii="Times New Roman" w:hAnsi="Times New Roman"/>
          <w:sz w:val="24"/>
          <w:szCs w:val="24"/>
        </w:rPr>
        <w:t>”;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o que dispõe a Súmula n° 06 do Conselho Federal da Ordem dos Advogados do Brasil, segundo a qual “</w:t>
      </w:r>
      <w:r w:rsidRPr="00627B3B">
        <w:rPr>
          <w:rFonts w:ascii="Times New Roman" w:hAnsi="Times New Roman"/>
          <w:i/>
          <w:sz w:val="24"/>
          <w:szCs w:val="24"/>
        </w:rPr>
        <w:t>os honorários advocatícios de sucumbência pertencem ao Advogado Estatal, sendo plenamente possível o ajuste entre a entidade e seus advogados</w:t>
      </w:r>
      <w:r w:rsidRPr="00627B3B">
        <w:rPr>
          <w:rFonts w:ascii="Times New Roman" w:hAnsi="Times New Roman"/>
          <w:sz w:val="24"/>
          <w:szCs w:val="24"/>
        </w:rPr>
        <w:t>”;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Considerando a Portaria Normativa nº 54, de 18 de maio de 2017, do CAU/BR que informa, especificamente no art. 1º, § 4º, que os honorários advocatícios serão pagos em documento bancário específico nas ações de execuções fiscais;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Considerando o Parecer da Comissão Nacional de Defesa das Prerrogativas e Valorização da Advocacia, do Conselho Federal da OAB, nos autos do Processo n.º 49.000.2018.001734-1, que concluiu pelo direito ao recebimento dos honorários advocatícios pelos advogados dos Conselhos Profissionais;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Considerando a necessidade de se estabelecer procedimentos relativos ao recebimento, destinação, rateio dos honorários advocatícios;</w:t>
      </w:r>
    </w:p>
    <w:p w:rsidR="007D0BC0" w:rsidRPr="007D0BC0" w:rsidRDefault="007D0BC0" w:rsidP="00F263A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7D0BC0" w:rsidRDefault="00641569" w:rsidP="00F263A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RESOLVE:</w:t>
      </w:r>
    </w:p>
    <w:p w:rsidR="00641569" w:rsidRPr="00627B3B" w:rsidRDefault="00641569" w:rsidP="00F263AB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7D0BC0" w:rsidRPr="007D0BC0" w:rsidRDefault="00190A70" w:rsidP="00F263A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27B3B">
        <w:rPr>
          <w:rFonts w:ascii="Times New Roman" w:eastAsiaTheme="minorHAnsi" w:hAnsi="Times New Roman" w:cs="Times New Roman"/>
          <w:color w:val="000000"/>
          <w:lang w:eastAsia="en-US"/>
        </w:rPr>
        <w:t xml:space="preserve">Art. </w:t>
      </w:r>
      <w:r w:rsidR="007D0BC0" w:rsidRPr="007D0BC0">
        <w:rPr>
          <w:rFonts w:ascii="Times New Roman" w:eastAsiaTheme="minorHAnsi" w:hAnsi="Times New Roman" w:cs="Times New Roman"/>
          <w:color w:val="000000"/>
          <w:lang w:eastAsia="en-US"/>
        </w:rPr>
        <w:t>1</w:t>
      </w:r>
      <w:r w:rsidRPr="00627B3B">
        <w:rPr>
          <w:rFonts w:ascii="Times New Roman" w:eastAsiaTheme="minorHAnsi" w:hAnsi="Times New Roman" w:cs="Times New Roman"/>
          <w:color w:val="000000"/>
          <w:lang w:eastAsia="en-US"/>
        </w:rPr>
        <w:t>º</w:t>
      </w:r>
      <w:r w:rsidR="007D0BC0" w:rsidRPr="007D0BC0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  <w:r w:rsidR="00641569">
        <w:rPr>
          <w:rFonts w:ascii="Times New Roman" w:eastAsiaTheme="minorHAnsi" w:hAnsi="Times New Roman" w:cs="Times New Roman"/>
          <w:color w:val="000000"/>
          <w:lang w:eastAsia="en-US"/>
        </w:rPr>
        <w:t>Regulamentar</w:t>
      </w:r>
      <w:r w:rsidR="007D0BC0" w:rsidRPr="007D0BC0">
        <w:rPr>
          <w:rFonts w:ascii="Times New Roman" w:eastAsiaTheme="minorHAnsi" w:hAnsi="Times New Roman" w:cs="Times New Roman"/>
          <w:color w:val="000000"/>
          <w:lang w:eastAsia="en-US"/>
        </w:rPr>
        <w:t xml:space="preserve"> a transferência dos valores referentes a honorários advocatícios sucumbenciais decorrentes das ações </w:t>
      </w:r>
      <w:r w:rsidR="007D0BC0" w:rsidRPr="00627B3B">
        <w:rPr>
          <w:rFonts w:ascii="Times New Roman" w:eastAsiaTheme="minorHAnsi" w:hAnsi="Times New Roman" w:cs="Times New Roman"/>
          <w:color w:val="000000"/>
          <w:lang w:eastAsia="en-US"/>
        </w:rPr>
        <w:t>judiciais</w:t>
      </w:r>
      <w:r w:rsidR="00641569">
        <w:rPr>
          <w:rFonts w:ascii="Times New Roman" w:eastAsiaTheme="minorHAnsi" w:hAnsi="Times New Roman" w:cs="Times New Roman"/>
          <w:color w:val="000000"/>
          <w:lang w:eastAsia="en-US"/>
        </w:rPr>
        <w:t xml:space="preserve"> aos</w:t>
      </w:r>
      <w:r w:rsidR="007D0BC0" w:rsidRPr="00627B3B">
        <w:rPr>
          <w:rFonts w:ascii="Times New Roman" w:eastAsiaTheme="minorHAnsi" w:hAnsi="Times New Roman" w:cs="Times New Roman"/>
          <w:color w:val="000000"/>
          <w:lang w:eastAsia="en-US"/>
        </w:rPr>
        <w:t xml:space="preserve"> advogados</w:t>
      </w:r>
      <w:r w:rsidR="00641569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7D0BC0" w:rsidRPr="00627B3B">
        <w:rPr>
          <w:rFonts w:ascii="Times New Roman" w:eastAsiaTheme="minorHAnsi" w:hAnsi="Times New Roman" w:cs="Times New Roman"/>
          <w:color w:val="000000"/>
          <w:lang w:eastAsia="en-US"/>
        </w:rPr>
        <w:t>efetivos do Setor Jurídico do CAU/PR</w:t>
      </w:r>
      <w:r w:rsidR="007D0BC0" w:rsidRPr="007D0BC0">
        <w:rPr>
          <w:rFonts w:ascii="Times New Roman" w:eastAsiaTheme="minorHAnsi" w:hAnsi="Times New Roman" w:cs="Times New Roman"/>
          <w:color w:val="000000"/>
          <w:lang w:eastAsia="en-US"/>
        </w:rPr>
        <w:t>, n</w:t>
      </w:r>
      <w:r w:rsidRPr="00627B3B">
        <w:rPr>
          <w:rFonts w:ascii="Times New Roman" w:eastAsiaTheme="minorHAnsi" w:hAnsi="Times New Roman" w:cs="Times New Roman"/>
          <w:color w:val="000000"/>
          <w:lang w:eastAsia="en-US"/>
        </w:rPr>
        <w:t>os termos da legislação vigente, vinculados há no mínimo 1 (um) ano à Autarquia.</w:t>
      </w:r>
      <w:r w:rsidR="007D0BC0" w:rsidRPr="007D0BC0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Parágrafo </w:t>
      </w:r>
      <w:r w:rsidR="00190A70" w:rsidRPr="00627B3B">
        <w:rPr>
          <w:rFonts w:ascii="Times New Roman" w:hAnsi="Times New Roman" w:cs="Times New Roman"/>
        </w:rPr>
        <w:t>único</w:t>
      </w:r>
      <w:r w:rsidRPr="00627B3B">
        <w:rPr>
          <w:rFonts w:ascii="Times New Roman" w:hAnsi="Times New Roman" w:cs="Times New Roman"/>
        </w:rPr>
        <w:t>. Entende-se por honorários advocatícios</w:t>
      </w:r>
      <w:r w:rsidR="00190A70" w:rsidRPr="00627B3B">
        <w:rPr>
          <w:rFonts w:ascii="Times New Roman" w:hAnsi="Times New Roman" w:cs="Times New Roman"/>
        </w:rPr>
        <w:t xml:space="preserve"> sucumbenciais</w:t>
      </w:r>
      <w:r w:rsidRPr="00627B3B">
        <w:rPr>
          <w:rFonts w:ascii="Times New Roman" w:hAnsi="Times New Roman" w:cs="Times New Roman"/>
        </w:rPr>
        <w:t xml:space="preserve">, para os fins do </w:t>
      </w:r>
      <w:r w:rsidRPr="00627B3B">
        <w:rPr>
          <w:rFonts w:ascii="Times New Roman" w:hAnsi="Times New Roman" w:cs="Times New Roman"/>
          <w:i/>
        </w:rPr>
        <w:t>caput</w:t>
      </w:r>
      <w:r w:rsidRPr="00627B3B">
        <w:rPr>
          <w:rFonts w:ascii="Times New Roman" w:hAnsi="Times New Roman" w:cs="Times New Roman"/>
        </w:rPr>
        <w:t xml:space="preserve"> deste artigo, o total do produto dos honorários de sucumbência recebidos nas ações judiciais de que seja parte o Conselho de Arquitetura e Urbanismo d</w:t>
      </w:r>
      <w:r w:rsidR="00417B2F" w:rsidRPr="00627B3B">
        <w:rPr>
          <w:rFonts w:ascii="Times New Roman" w:hAnsi="Times New Roman" w:cs="Times New Roman"/>
        </w:rPr>
        <w:t>o Paraná – CAU/PR,</w:t>
      </w:r>
      <w:r w:rsidRPr="00627B3B">
        <w:rPr>
          <w:rFonts w:ascii="Times New Roman" w:hAnsi="Times New Roman" w:cs="Times New Roman"/>
        </w:rPr>
        <w:t xml:space="preserve"> bem como os valores a título de honorários que constarem expressamente nos acordos extraju</w:t>
      </w:r>
      <w:r w:rsidR="00417B2F" w:rsidRPr="00627B3B">
        <w:rPr>
          <w:rFonts w:ascii="Times New Roman" w:hAnsi="Times New Roman" w:cs="Times New Roman"/>
        </w:rPr>
        <w:t>diciais realizados pelo CAU/PR.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Art. 2º. Os valores relativos aos honorários advocatícios de que trata esta </w:t>
      </w:r>
      <w:r w:rsidR="007D0BC0" w:rsidRPr="00627B3B">
        <w:rPr>
          <w:rFonts w:ascii="Times New Roman" w:hAnsi="Times New Roman" w:cs="Times New Roman"/>
        </w:rPr>
        <w:t>Deliberação</w:t>
      </w:r>
      <w:r w:rsidRPr="00627B3B">
        <w:rPr>
          <w:rFonts w:ascii="Times New Roman" w:hAnsi="Times New Roman" w:cs="Times New Roman"/>
        </w:rPr>
        <w:t xml:space="preserve"> serão igualmente recebidos e rateados entre os advogados que fazem jus aos honorários advocatícios na forma do art. 1º do presente ato normativo.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§ 1º. A fração igualitária dos honorários advocatícios será devida a cada um dos advogados indicados no art. 1º, sempre que o pagamento da referida verba pela parte sucumbente ocorrer na constância do vínculo de emprego com o CAU/P</w:t>
      </w:r>
      <w:r w:rsidR="00417B2F" w:rsidRPr="00627B3B">
        <w:rPr>
          <w:rFonts w:ascii="Times New Roman" w:hAnsi="Times New Roman" w:cs="Times New Roman"/>
        </w:rPr>
        <w:t>R, independente de terem autuado diretamente na demanda ou não</w:t>
      </w:r>
      <w:r w:rsidRPr="00627B3B">
        <w:rPr>
          <w:rFonts w:ascii="Times New Roman" w:hAnsi="Times New Roman" w:cs="Times New Roman"/>
        </w:rPr>
        <w:t xml:space="preserve">. </w:t>
      </w:r>
    </w:p>
    <w:p w:rsidR="0041020C" w:rsidRPr="00627B3B" w:rsidRDefault="00024F3D" w:rsidP="00F263AB">
      <w:pPr>
        <w:spacing w:before="120" w:after="120"/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§ 2º. </w:t>
      </w:r>
      <w:r w:rsidR="0041020C" w:rsidRPr="00627B3B">
        <w:rPr>
          <w:rFonts w:ascii="Times New Roman" w:hAnsi="Times New Roman" w:cs="Times New Roman"/>
        </w:rPr>
        <w:t>Considerando que não integram o orçamento geral do CAU/PR, o</w:t>
      </w:r>
      <w:r w:rsidRPr="00627B3B">
        <w:rPr>
          <w:rFonts w:ascii="Times New Roman" w:hAnsi="Times New Roman" w:cs="Times New Roman"/>
        </w:rPr>
        <w:t xml:space="preserve">s honorários advocatícios recebidos na forma do §1º deverão ser </w:t>
      </w:r>
      <w:r w:rsidR="0041020C" w:rsidRPr="00627B3B">
        <w:rPr>
          <w:rFonts w:ascii="Times New Roman" w:hAnsi="Times New Roman" w:cs="Times New Roman"/>
        </w:rPr>
        <w:t xml:space="preserve">direcionados na Conta 12.842-2, Agência 3793-1, Banco do Brasil, criada pelo CAU/PR especificamente para tal fim. </w:t>
      </w:r>
    </w:p>
    <w:p w:rsidR="00024F3D" w:rsidRPr="00627B3B" w:rsidRDefault="0041020C" w:rsidP="00F263AB">
      <w:pPr>
        <w:spacing w:before="120" w:after="120"/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§3º. Enquanto não concluído o processo de criação da conta bancária mencionada no §2º, os valores serão destinados à Conta Corrente </w:t>
      </w:r>
      <w:r w:rsidRPr="00627B3B">
        <w:rPr>
          <w:rFonts w:ascii="Times New Roman" w:hAnsi="Times New Roman" w:cs="Times New Roman"/>
          <w:shd w:val="clear" w:color="auto" w:fill="FFFFFF"/>
        </w:rPr>
        <w:t xml:space="preserve">56.987-9, Ag. 3793-1, do Conselho de Arquitetura e </w:t>
      </w:r>
      <w:r w:rsidRPr="00627B3B">
        <w:rPr>
          <w:rFonts w:ascii="Times New Roman" w:hAnsi="Times New Roman" w:cs="Times New Roman"/>
          <w:shd w:val="clear" w:color="auto" w:fill="FFFFFF"/>
        </w:rPr>
        <w:lastRenderedPageBreak/>
        <w:t>Urbanismo do Paraná – CAU/PR, inscrita no CNPJ 14804099/0001-99, Banco do Brasil</w:t>
      </w:r>
      <w:r w:rsidR="00024F3D" w:rsidRPr="00627B3B">
        <w:rPr>
          <w:rFonts w:ascii="Times New Roman" w:hAnsi="Times New Roman" w:cs="Times New Roman"/>
        </w:rPr>
        <w:t>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Art. 3º. Os honorários advocatícios serão pagos mensalmente aos advogados</w:t>
      </w:r>
      <w:r w:rsidR="00417B2F" w:rsidRPr="00627B3B">
        <w:rPr>
          <w:rFonts w:ascii="Times New Roman" w:hAnsi="Times New Roman" w:cs="Times New Roman"/>
        </w:rPr>
        <w:t>, impreterivelmente até o antepenúltimo dia útil de cada</w:t>
      </w:r>
      <w:r w:rsidRPr="00627B3B">
        <w:rPr>
          <w:rFonts w:ascii="Times New Roman" w:hAnsi="Times New Roman" w:cs="Times New Roman"/>
        </w:rPr>
        <w:t xml:space="preserve"> mês, já considerados os eventuais descontos legais incidentes a título de Imposto sobre a Renda. 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§ 1º. A Gerência Financeira do CAU/P</w:t>
      </w:r>
      <w:r w:rsidR="00417B2F" w:rsidRPr="00627B3B">
        <w:rPr>
          <w:rFonts w:ascii="Times New Roman" w:hAnsi="Times New Roman" w:cs="Times New Roman"/>
        </w:rPr>
        <w:t>R</w:t>
      </w:r>
      <w:r w:rsidRPr="00627B3B">
        <w:rPr>
          <w:rFonts w:ascii="Times New Roman" w:hAnsi="Times New Roman" w:cs="Times New Roman"/>
        </w:rPr>
        <w:t xml:space="preserve"> adotará as providências necessárias para viabilizar o crédito dos valores referentes aos honorários de que trata a presente </w:t>
      </w:r>
      <w:r w:rsidR="00190A70" w:rsidRPr="00627B3B">
        <w:rPr>
          <w:rFonts w:ascii="Times New Roman" w:hAnsi="Times New Roman" w:cs="Times New Roman"/>
        </w:rPr>
        <w:t>Deliberação</w:t>
      </w:r>
      <w:r w:rsidRPr="00627B3B">
        <w:rPr>
          <w:rFonts w:ascii="Times New Roman" w:hAnsi="Times New Roman" w:cs="Times New Roman"/>
        </w:rPr>
        <w:t xml:space="preserve"> nas contas bancárias em que são depositados os salários dos empregados relacionados no art. 1º.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 xml:space="preserve">§ 2º. Os advogados que fazem jus ao recebimento da verba honorária de que trata esta </w:t>
      </w:r>
      <w:r w:rsidR="00190A70" w:rsidRPr="00627B3B">
        <w:rPr>
          <w:rFonts w:ascii="Times New Roman" w:hAnsi="Times New Roman" w:cs="Times New Roman"/>
        </w:rPr>
        <w:t>Deliberação</w:t>
      </w:r>
      <w:r w:rsidRPr="00627B3B">
        <w:rPr>
          <w:rFonts w:ascii="Times New Roman" w:hAnsi="Times New Roman" w:cs="Times New Roman"/>
        </w:rPr>
        <w:t xml:space="preserve"> deverão ser informados, mensalmente, pela Gerência Financeira </w:t>
      </w:r>
      <w:r w:rsidR="00417B2F" w:rsidRPr="00627B3B">
        <w:rPr>
          <w:rFonts w:ascii="Times New Roman" w:hAnsi="Times New Roman" w:cs="Times New Roman"/>
        </w:rPr>
        <w:t>do CAU/</w:t>
      </w:r>
      <w:r w:rsidRPr="00627B3B">
        <w:rPr>
          <w:rFonts w:ascii="Times New Roman" w:hAnsi="Times New Roman" w:cs="Times New Roman"/>
        </w:rPr>
        <w:t>P</w:t>
      </w:r>
      <w:r w:rsidR="00417B2F" w:rsidRPr="00627B3B">
        <w:rPr>
          <w:rFonts w:ascii="Times New Roman" w:hAnsi="Times New Roman" w:cs="Times New Roman"/>
        </w:rPr>
        <w:t>R</w:t>
      </w:r>
      <w:r w:rsidRPr="00627B3B">
        <w:rPr>
          <w:rFonts w:ascii="Times New Roman" w:hAnsi="Times New Roman" w:cs="Times New Roman"/>
        </w:rPr>
        <w:t xml:space="preserve">, a respeito do valor total apurado referente à verba honorária, devendo ser discriminados o número do processo judicial e o nome do profissional a que os valores se referem. 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§ 3º. Os honorários advocatícios constituem verba privada variável, não incorporável, nem computável para cálculo de qualquer vantagem remuneratória, não estando sujeita à incidência de contribuição previdenciária ou do FGTS.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§ 4º. Os honorários advocatícios não integrarão ou repercutirão na remuneração devida, não servindo de base de cálculo para adicional, gratificação ou qualquer outra vantagem pecuniária e/ou de natureza salarial.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Art. 4º. Não afastam o pagamento de honorários as ausências decorrentes de: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I - Gozo de férias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II - Licença remunerada;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III - Licença maternidade, paternidade e por adoção;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  <w:r w:rsidRPr="00627B3B">
        <w:rPr>
          <w:rFonts w:ascii="Times New Roman" w:hAnsi="Times New Roman" w:cs="Times New Roman"/>
        </w:rPr>
        <w:t>IV - Licença para tratamento de saúde.</w:t>
      </w:r>
    </w:p>
    <w:p w:rsidR="00024F3D" w:rsidRPr="00627B3B" w:rsidRDefault="00024F3D" w:rsidP="00F263AB">
      <w:pPr>
        <w:jc w:val="both"/>
        <w:rPr>
          <w:rFonts w:ascii="Times New Roman" w:hAnsi="Times New Roman" w:cs="Times New Roman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Art. 5°. Interrompe o recebimento dos honorários advocatícios: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I - Licença para tratamento de interesses particulares;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II - Licença para campanha eleitoral;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III - Afastamento para exercício de mandato eletivo ou mandato classista;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>IV - Suspensão em cumprimento de penalidade disciplinar;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 xml:space="preserve">Art. 6º O direito ao recebimento dos honorários advocatícios cessa com o desligamento do advogado de que trata o art. 1º da presente </w:t>
      </w:r>
      <w:r w:rsidR="00190A70" w:rsidRPr="00627B3B">
        <w:rPr>
          <w:rFonts w:ascii="Times New Roman" w:hAnsi="Times New Roman"/>
          <w:sz w:val="24"/>
          <w:szCs w:val="24"/>
        </w:rPr>
        <w:t>Deliberação</w:t>
      </w:r>
      <w:r w:rsidRPr="00627B3B">
        <w:rPr>
          <w:rFonts w:ascii="Times New Roman" w:hAnsi="Times New Roman"/>
          <w:sz w:val="24"/>
          <w:szCs w:val="24"/>
        </w:rPr>
        <w:t xml:space="preserve"> dos quadros do CAU/P</w:t>
      </w:r>
      <w:r w:rsidR="00417B2F" w:rsidRPr="00627B3B">
        <w:rPr>
          <w:rFonts w:ascii="Times New Roman" w:hAnsi="Times New Roman"/>
          <w:sz w:val="24"/>
          <w:szCs w:val="24"/>
        </w:rPr>
        <w:t>R</w:t>
      </w:r>
      <w:r w:rsidRPr="00627B3B">
        <w:rPr>
          <w:rFonts w:ascii="Times New Roman" w:hAnsi="Times New Roman"/>
          <w:sz w:val="24"/>
          <w:szCs w:val="24"/>
        </w:rPr>
        <w:t>.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 xml:space="preserve">§ 1º Na hipótese do </w:t>
      </w:r>
      <w:r w:rsidRPr="00627B3B">
        <w:rPr>
          <w:rFonts w:ascii="Times New Roman" w:hAnsi="Times New Roman"/>
          <w:i/>
          <w:sz w:val="24"/>
          <w:szCs w:val="24"/>
        </w:rPr>
        <w:t>caput</w:t>
      </w:r>
      <w:r w:rsidRPr="00627B3B">
        <w:rPr>
          <w:rFonts w:ascii="Times New Roman" w:hAnsi="Times New Roman"/>
          <w:sz w:val="24"/>
          <w:szCs w:val="24"/>
        </w:rPr>
        <w:t xml:space="preserve"> deste artigo, o advogado terá direito ao recebimento de honorários advocatícios proporcionais ao período apurado enquanto vigente o seu vínculo empregatício</w:t>
      </w:r>
      <w:r w:rsidR="00417B2F" w:rsidRPr="00627B3B">
        <w:rPr>
          <w:rFonts w:ascii="Times New Roman" w:hAnsi="Times New Roman"/>
          <w:sz w:val="24"/>
          <w:szCs w:val="24"/>
        </w:rPr>
        <w:t xml:space="preserve"> com o CAU/</w:t>
      </w:r>
      <w:r w:rsidRPr="00627B3B">
        <w:rPr>
          <w:rFonts w:ascii="Times New Roman" w:hAnsi="Times New Roman"/>
          <w:sz w:val="24"/>
          <w:szCs w:val="24"/>
        </w:rPr>
        <w:t>P</w:t>
      </w:r>
      <w:r w:rsidR="00417B2F" w:rsidRPr="00627B3B">
        <w:rPr>
          <w:rFonts w:ascii="Times New Roman" w:hAnsi="Times New Roman"/>
          <w:sz w:val="24"/>
          <w:szCs w:val="24"/>
        </w:rPr>
        <w:t>R</w:t>
      </w:r>
      <w:r w:rsidRPr="00627B3B">
        <w:rPr>
          <w:rFonts w:ascii="Times New Roman" w:hAnsi="Times New Roman"/>
          <w:sz w:val="24"/>
          <w:szCs w:val="24"/>
        </w:rPr>
        <w:t>.</w:t>
      </w:r>
    </w:p>
    <w:p w:rsidR="00190A70" w:rsidRPr="00627B3B" w:rsidRDefault="00190A70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 xml:space="preserve"> Art. </w:t>
      </w:r>
      <w:r w:rsidR="00417B2F" w:rsidRPr="00627B3B">
        <w:rPr>
          <w:rFonts w:ascii="Times New Roman" w:hAnsi="Times New Roman"/>
          <w:sz w:val="24"/>
          <w:szCs w:val="24"/>
        </w:rPr>
        <w:t>7</w:t>
      </w:r>
      <w:r w:rsidRPr="00627B3B">
        <w:rPr>
          <w:rFonts w:ascii="Times New Roman" w:hAnsi="Times New Roman"/>
          <w:sz w:val="24"/>
          <w:szCs w:val="24"/>
        </w:rPr>
        <w:t>º Este ato entra em vigor na data de sua publicação.</w:t>
      </w:r>
    </w:p>
    <w:p w:rsidR="00024F3D" w:rsidRPr="00627B3B" w:rsidRDefault="00024F3D" w:rsidP="00F263A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17B2F" w:rsidRDefault="00417B2F" w:rsidP="00F263AB">
      <w:pPr>
        <w:pStyle w:val="SemEspaamento"/>
        <w:ind w:left="2127"/>
        <w:jc w:val="both"/>
        <w:rPr>
          <w:rFonts w:ascii="Times New Roman" w:hAnsi="Times New Roman"/>
          <w:sz w:val="24"/>
          <w:szCs w:val="24"/>
        </w:rPr>
      </w:pPr>
      <w:r w:rsidRPr="00627B3B">
        <w:rPr>
          <w:rFonts w:ascii="Times New Roman" w:hAnsi="Times New Roman"/>
          <w:sz w:val="24"/>
          <w:szCs w:val="24"/>
        </w:rPr>
        <w:t xml:space="preserve">Curitiba, </w:t>
      </w:r>
      <w:r w:rsidR="00D9055E">
        <w:rPr>
          <w:rFonts w:ascii="Times New Roman" w:hAnsi="Times New Roman"/>
          <w:sz w:val="24"/>
          <w:szCs w:val="24"/>
        </w:rPr>
        <w:t>16</w:t>
      </w:r>
      <w:r w:rsidR="002F1609" w:rsidRPr="00627B3B">
        <w:rPr>
          <w:rFonts w:ascii="Times New Roman" w:hAnsi="Times New Roman"/>
          <w:sz w:val="24"/>
          <w:szCs w:val="24"/>
        </w:rPr>
        <w:t xml:space="preserve"> de dezembro</w:t>
      </w:r>
      <w:r w:rsidRPr="00627B3B">
        <w:rPr>
          <w:rFonts w:ascii="Times New Roman" w:hAnsi="Times New Roman"/>
          <w:sz w:val="24"/>
          <w:szCs w:val="24"/>
        </w:rPr>
        <w:t xml:space="preserve"> de 2020.</w:t>
      </w:r>
    </w:p>
    <w:p w:rsidR="000A6D41" w:rsidRDefault="000A6D41" w:rsidP="00F263AB">
      <w:pPr>
        <w:pStyle w:val="SemEspaamen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A6D41" w:rsidRDefault="000A6D41" w:rsidP="00F263AB">
      <w:pPr>
        <w:pStyle w:val="SemEspaamen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A6D41" w:rsidRPr="00627B3B" w:rsidRDefault="000A6D41" w:rsidP="00F263AB">
      <w:pPr>
        <w:pStyle w:val="SemEspaamento"/>
        <w:ind w:left="212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7B2F" w:rsidRPr="00627B3B" w:rsidRDefault="00417B2F" w:rsidP="00F263AB">
      <w:pPr>
        <w:ind w:right="-7"/>
        <w:jc w:val="center"/>
        <w:rPr>
          <w:rFonts w:ascii="Times New Roman" w:eastAsia="Times New Roman" w:hAnsi="Times New Roman" w:cs="Times New Roman"/>
          <w:b/>
        </w:rPr>
      </w:pPr>
    </w:p>
    <w:p w:rsidR="00024F3D" w:rsidRPr="00627B3B" w:rsidRDefault="00417B2F" w:rsidP="00F263AB">
      <w:pPr>
        <w:ind w:right="-7"/>
        <w:jc w:val="center"/>
        <w:rPr>
          <w:rFonts w:ascii="Times New Roman" w:eastAsia="Times New Roman" w:hAnsi="Times New Roman" w:cs="Times New Roman"/>
          <w:b/>
        </w:rPr>
      </w:pPr>
      <w:r w:rsidRPr="00627B3B">
        <w:rPr>
          <w:rFonts w:ascii="Times New Roman" w:eastAsia="Times New Roman" w:hAnsi="Times New Roman" w:cs="Times New Roman"/>
          <w:b/>
        </w:rPr>
        <w:t>MARGARETH ZIOLLA MENEZES</w:t>
      </w:r>
    </w:p>
    <w:p w:rsidR="00CB68F6" w:rsidRPr="00627B3B" w:rsidRDefault="00417B2F" w:rsidP="00F263AB">
      <w:pPr>
        <w:ind w:right="-7"/>
        <w:jc w:val="center"/>
        <w:rPr>
          <w:rFonts w:ascii="Times New Roman" w:hAnsi="Times New Roman" w:cs="Times New Roman"/>
        </w:rPr>
      </w:pPr>
      <w:r w:rsidRPr="00627B3B">
        <w:rPr>
          <w:rFonts w:ascii="Times New Roman" w:eastAsia="Times New Roman" w:hAnsi="Times New Roman" w:cs="Times New Roman"/>
        </w:rPr>
        <w:t>Presidente do CAU/PR</w:t>
      </w:r>
    </w:p>
    <w:sectPr w:rsidR="00CB68F6" w:rsidRPr="00627B3B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5A" w:rsidRDefault="00F7415A" w:rsidP="003710CC">
      <w:r>
        <w:separator/>
      </w:r>
    </w:p>
  </w:endnote>
  <w:endnote w:type="continuationSeparator" w:id="0">
    <w:p w:rsidR="00F7415A" w:rsidRDefault="00F7415A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08" w:rsidRDefault="00D93708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08" w:rsidRPr="00320662" w:rsidRDefault="00D93708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D93708" w:rsidRPr="00B1747A" w:rsidRDefault="00D93708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, CEP </w:t>
    </w:r>
    <w:r w:rsidRPr="00B1747A">
      <w:rPr>
        <w:b/>
        <w:color w:val="A6A6A6" w:themeColor="background1" w:themeShade="A6"/>
        <w:sz w:val="18"/>
      </w:rPr>
      <w:t>80045-360 – Curitiba-PR.  Fone: 41 3218-0200</w:t>
    </w:r>
  </w:p>
  <w:p w:rsidR="00D93708" w:rsidRPr="00B1747A" w:rsidRDefault="00D93708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São Paulo, 2.045, Sala 02, CEP 85801-021 - Fone: 45 3229-6546 | Londrina: Rua Paranaguá, 300, Sala 5, CEP 86020-030 -  Fone: 43 3039-0035 </w:t>
    </w:r>
  </w:p>
  <w:p w:rsidR="00D93708" w:rsidRPr="00B1747A" w:rsidRDefault="00D93708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5A" w:rsidRDefault="00F7415A" w:rsidP="003710CC">
      <w:r>
        <w:separator/>
      </w:r>
    </w:p>
  </w:footnote>
  <w:footnote w:type="continuationSeparator" w:id="0">
    <w:p w:rsidR="00F7415A" w:rsidRDefault="00F7415A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08" w:rsidRDefault="00D93708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77A"/>
    <w:multiLevelType w:val="hybridMultilevel"/>
    <w:tmpl w:val="283E313E"/>
    <w:lvl w:ilvl="0" w:tplc="8FBEDF8E">
      <w:start w:val="1"/>
      <w:numFmt w:val="decimal"/>
      <w:pStyle w:val="E-X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A4A"/>
    <w:multiLevelType w:val="hybridMultilevel"/>
    <w:tmpl w:val="C94E5D12"/>
    <w:lvl w:ilvl="0" w:tplc="C50CF3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D23"/>
    <w:multiLevelType w:val="hybridMultilevel"/>
    <w:tmpl w:val="DFD82538"/>
    <w:lvl w:ilvl="0" w:tplc="9D1CCF3C">
      <w:start w:val="1"/>
      <w:numFmt w:val="lowerLetter"/>
      <w:lvlText w:val="%1)"/>
      <w:lvlJc w:val="left"/>
      <w:pPr>
        <w:ind w:left="475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20ED631E"/>
    <w:multiLevelType w:val="hybridMultilevel"/>
    <w:tmpl w:val="7DD8506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E373722"/>
    <w:multiLevelType w:val="hybridMultilevel"/>
    <w:tmpl w:val="0B8404FE"/>
    <w:lvl w:ilvl="0" w:tplc="C05AEED8">
      <w:start w:val="1"/>
      <w:numFmt w:val="upperRoman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0B5B"/>
    <w:multiLevelType w:val="hybridMultilevel"/>
    <w:tmpl w:val="80802310"/>
    <w:lvl w:ilvl="0" w:tplc="B21EDE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71CFB"/>
    <w:multiLevelType w:val="hybridMultilevel"/>
    <w:tmpl w:val="1480C5E2"/>
    <w:lvl w:ilvl="0" w:tplc="E72AB70A">
      <w:start w:val="1"/>
      <w:numFmt w:val="lowerLetter"/>
      <w:lvlText w:val="%1)"/>
      <w:lvlJc w:val="left"/>
      <w:pPr>
        <w:ind w:left="1353" w:hanging="360"/>
      </w:pPr>
      <w:rPr>
        <w:rFonts w:ascii="Arial" w:eastAsia="MS Mincho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BF3835"/>
    <w:multiLevelType w:val="hybridMultilevel"/>
    <w:tmpl w:val="E56C24B4"/>
    <w:lvl w:ilvl="0" w:tplc="E05EF48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76244"/>
    <w:multiLevelType w:val="hybridMultilevel"/>
    <w:tmpl w:val="0380962E"/>
    <w:lvl w:ilvl="0" w:tplc="C8666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025E4"/>
    <w:multiLevelType w:val="hybridMultilevel"/>
    <w:tmpl w:val="63144FAA"/>
    <w:lvl w:ilvl="0" w:tplc="50788A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B92D0A"/>
    <w:multiLevelType w:val="hybridMultilevel"/>
    <w:tmpl w:val="65923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B2682"/>
    <w:multiLevelType w:val="hybridMultilevel"/>
    <w:tmpl w:val="DA22E622"/>
    <w:lvl w:ilvl="0" w:tplc="7ACA26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5A24"/>
    <w:rsid w:val="000236B2"/>
    <w:rsid w:val="00024F3D"/>
    <w:rsid w:val="00025390"/>
    <w:rsid w:val="00026201"/>
    <w:rsid w:val="00047B96"/>
    <w:rsid w:val="0005710D"/>
    <w:rsid w:val="00060098"/>
    <w:rsid w:val="00072360"/>
    <w:rsid w:val="00074540"/>
    <w:rsid w:val="00086DBD"/>
    <w:rsid w:val="000A6D41"/>
    <w:rsid w:val="000D3AA0"/>
    <w:rsid w:val="000D5721"/>
    <w:rsid w:val="000D664E"/>
    <w:rsid w:val="000E010D"/>
    <w:rsid w:val="000E4E4B"/>
    <w:rsid w:val="000F3BDB"/>
    <w:rsid w:val="000F6003"/>
    <w:rsid w:val="0011435C"/>
    <w:rsid w:val="0014637C"/>
    <w:rsid w:val="00146A2C"/>
    <w:rsid w:val="00165557"/>
    <w:rsid w:val="00170B8F"/>
    <w:rsid w:val="0018455F"/>
    <w:rsid w:val="00190A70"/>
    <w:rsid w:val="00195FFA"/>
    <w:rsid w:val="001A170C"/>
    <w:rsid w:val="001A4EB4"/>
    <w:rsid w:val="001B20AF"/>
    <w:rsid w:val="001D1A9D"/>
    <w:rsid w:val="001D3DF8"/>
    <w:rsid w:val="001F377A"/>
    <w:rsid w:val="00206169"/>
    <w:rsid w:val="00234BD8"/>
    <w:rsid w:val="0026161A"/>
    <w:rsid w:val="00267E78"/>
    <w:rsid w:val="00283703"/>
    <w:rsid w:val="002857CD"/>
    <w:rsid w:val="002B21AF"/>
    <w:rsid w:val="002B636A"/>
    <w:rsid w:val="002C2911"/>
    <w:rsid w:val="002D7EA7"/>
    <w:rsid w:val="002F1609"/>
    <w:rsid w:val="00302BC3"/>
    <w:rsid w:val="0031498F"/>
    <w:rsid w:val="00320662"/>
    <w:rsid w:val="00325219"/>
    <w:rsid w:val="00344C05"/>
    <w:rsid w:val="00353764"/>
    <w:rsid w:val="00357489"/>
    <w:rsid w:val="00357A7D"/>
    <w:rsid w:val="003710CC"/>
    <w:rsid w:val="00371AB0"/>
    <w:rsid w:val="00381667"/>
    <w:rsid w:val="00381D1D"/>
    <w:rsid w:val="00390518"/>
    <w:rsid w:val="00391A28"/>
    <w:rsid w:val="003B3C70"/>
    <w:rsid w:val="003C13D4"/>
    <w:rsid w:val="003C2283"/>
    <w:rsid w:val="003C35D8"/>
    <w:rsid w:val="003D3A6F"/>
    <w:rsid w:val="003D4EC1"/>
    <w:rsid w:val="003F368C"/>
    <w:rsid w:val="0041020C"/>
    <w:rsid w:val="00415855"/>
    <w:rsid w:val="00417B2F"/>
    <w:rsid w:val="004352A7"/>
    <w:rsid w:val="00436FB3"/>
    <w:rsid w:val="00444C62"/>
    <w:rsid w:val="00450956"/>
    <w:rsid w:val="0045495A"/>
    <w:rsid w:val="0047360A"/>
    <w:rsid w:val="004748D4"/>
    <w:rsid w:val="00483B80"/>
    <w:rsid w:val="004853C4"/>
    <w:rsid w:val="00495915"/>
    <w:rsid w:val="004B2BDD"/>
    <w:rsid w:val="004B6709"/>
    <w:rsid w:val="004E1A90"/>
    <w:rsid w:val="004F76F7"/>
    <w:rsid w:val="005102C4"/>
    <w:rsid w:val="00544C3A"/>
    <w:rsid w:val="0054562A"/>
    <w:rsid w:val="00575D91"/>
    <w:rsid w:val="005761D5"/>
    <w:rsid w:val="0058433B"/>
    <w:rsid w:val="005929E6"/>
    <w:rsid w:val="005A4EF4"/>
    <w:rsid w:val="005A5C9F"/>
    <w:rsid w:val="005B2A57"/>
    <w:rsid w:val="006067D9"/>
    <w:rsid w:val="00611473"/>
    <w:rsid w:val="00627B3B"/>
    <w:rsid w:val="006328B1"/>
    <w:rsid w:val="00634EBB"/>
    <w:rsid w:val="00641569"/>
    <w:rsid w:val="00645001"/>
    <w:rsid w:val="006479DD"/>
    <w:rsid w:val="00655EC7"/>
    <w:rsid w:val="006575EE"/>
    <w:rsid w:val="00666922"/>
    <w:rsid w:val="006753E2"/>
    <w:rsid w:val="00676FA1"/>
    <w:rsid w:val="00677C33"/>
    <w:rsid w:val="00687FC1"/>
    <w:rsid w:val="006969BE"/>
    <w:rsid w:val="006A1905"/>
    <w:rsid w:val="006A2D05"/>
    <w:rsid w:val="006B1750"/>
    <w:rsid w:val="006B5A21"/>
    <w:rsid w:val="006C704F"/>
    <w:rsid w:val="006D2CC3"/>
    <w:rsid w:val="006E6521"/>
    <w:rsid w:val="006F663D"/>
    <w:rsid w:val="006F740B"/>
    <w:rsid w:val="0072261F"/>
    <w:rsid w:val="007465FD"/>
    <w:rsid w:val="007502E9"/>
    <w:rsid w:val="00754C4B"/>
    <w:rsid w:val="00770D15"/>
    <w:rsid w:val="0079033D"/>
    <w:rsid w:val="00794DA5"/>
    <w:rsid w:val="007A0688"/>
    <w:rsid w:val="007C4BBA"/>
    <w:rsid w:val="007D0BC0"/>
    <w:rsid w:val="007D5242"/>
    <w:rsid w:val="007D561D"/>
    <w:rsid w:val="007D79F3"/>
    <w:rsid w:val="007E25C6"/>
    <w:rsid w:val="007E2EF6"/>
    <w:rsid w:val="007E6763"/>
    <w:rsid w:val="007F2804"/>
    <w:rsid w:val="00812683"/>
    <w:rsid w:val="0081449E"/>
    <w:rsid w:val="00830810"/>
    <w:rsid w:val="00831284"/>
    <w:rsid w:val="008421E3"/>
    <w:rsid w:val="00873CFB"/>
    <w:rsid w:val="008778D1"/>
    <w:rsid w:val="0089696A"/>
    <w:rsid w:val="0089699B"/>
    <w:rsid w:val="008B329D"/>
    <w:rsid w:val="008C1CD9"/>
    <w:rsid w:val="009135BB"/>
    <w:rsid w:val="009143AD"/>
    <w:rsid w:val="0091476B"/>
    <w:rsid w:val="009212D1"/>
    <w:rsid w:val="00931EF6"/>
    <w:rsid w:val="009404F5"/>
    <w:rsid w:val="00965208"/>
    <w:rsid w:val="00965A90"/>
    <w:rsid w:val="0097440D"/>
    <w:rsid w:val="00987F47"/>
    <w:rsid w:val="00994E8D"/>
    <w:rsid w:val="009A120E"/>
    <w:rsid w:val="009A70B1"/>
    <w:rsid w:val="009B22D9"/>
    <w:rsid w:val="009B23B1"/>
    <w:rsid w:val="009C32E3"/>
    <w:rsid w:val="009C6790"/>
    <w:rsid w:val="009D25BD"/>
    <w:rsid w:val="009D4B5B"/>
    <w:rsid w:val="009D5BB9"/>
    <w:rsid w:val="009F03B3"/>
    <w:rsid w:val="009F5D16"/>
    <w:rsid w:val="009F6294"/>
    <w:rsid w:val="00A01D22"/>
    <w:rsid w:val="00A12022"/>
    <w:rsid w:val="00A22D11"/>
    <w:rsid w:val="00A25DB3"/>
    <w:rsid w:val="00A5430A"/>
    <w:rsid w:val="00A6032B"/>
    <w:rsid w:val="00A629A7"/>
    <w:rsid w:val="00A81720"/>
    <w:rsid w:val="00A85666"/>
    <w:rsid w:val="00A964B9"/>
    <w:rsid w:val="00AA0C09"/>
    <w:rsid w:val="00AB0113"/>
    <w:rsid w:val="00AC4120"/>
    <w:rsid w:val="00AC427E"/>
    <w:rsid w:val="00AC4885"/>
    <w:rsid w:val="00AE16D1"/>
    <w:rsid w:val="00B03F3A"/>
    <w:rsid w:val="00B07B30"/>
    <w:rsid w:val="00B1747A"/>
    <w:rsid w:val="00B24B49"/>
    <w:rsid w:val="00B24C18"/>
    <w:rsid w:val="00B3677E"/>
    <w:rsid w:val="00B36ACF"/>
    <w:rsid w:val="00B41029"/>
    <w:rsid w:val="00B42D25"/>
    <w:rsid w:val="00B5089C"/>
    <w:rsid w:val="00B56615"/>
    <w:rsid w:val="00B62796"/>
    <w:rsid w:val="00B67788"/>
    <w:rsid w:val="00B841FE"/>
    <w:rsid w:val="00B85603"/>
    <w:rsid w:val="00B86ACB"/>
    <w:rsid w:val="00BA0615"/>
    <w:rsid w:val="00BC6D58"/>
    <w:rsid w:val="00BD3E99"/>
    <w:rsid w:val="00BF70F3"/>
    <w:rsid w:val="00C05C6E"/>
    <w:rsid w:val="00C11C70"/>
    <w:rsid w:val="00C24311"/>
    <w:rsid w:val="00C40B36"/>
    <w:rsid w:val="00C538E4"/>
    <w:rsid w:val="00C65BC0"/>
    <w:rsid w:val="00C737EE"/>
    <w:rsid w:val="00C8244D"/>
    <w:rsid w:val="00C82EB9"/>
    <w:rsid w:val="00C843B6"/>
    <w:rsid w:val="00C91E8D"/>
    <w:rsid w:val="00C92D71"/>
    <w:rsid w:val="00CA011A"/>
    <w:rsid w:val="00CA537B"/>
    <w:rsid w:val="00CB68F6"/>
    <w:rsid w:val="00CC3505"/>
    <w:rsid w:val="00CF1BC4"/>
    <w:rsid w:val="00D05169"/>
    <w:rsid w:val="00D10BA7"/>
    <w:rsid w:val="00D15653"/>
    <w:rsid w:val="00D24012"/>
    <w:rsid w:val="00D24FE3"/>
    <w:rsid w:val="00D44868"/>
    <w:rsid w:val="00D45B05"/>
    <w:rsid w:val="00D525EC"/>
    <w:rsid w:val="00D57511"/>
    <w:rsid w:val="00D60265"/>
    <w:rsid w:val="00D67F02"/>
    <w:rsid w:val="00D71687"/>
    <w:rsid w:val="00D811CA"/>
    <w:rsid w:val="00D826E9"/>
    <w:rsid w:val="00D9055E"/>
    <w:rsid w:val="00D9270A"/>
    <w:rsid w:val="00D93708"/>
    <w:rsid w:val="00D93CC5"/>
    <w:rsid w:val="00DA1C5F"/>
    <w:rsid w:val="00DA70BD"/>
    <w:rsid w:val="00DB3D28"/>
    <w:rsid w:val="00DC7377"/>
    <w:rsid w:val="00DD1F6E"/>
    <w:rsid w:val="00DD2560"/>
    <w:rsid w:val="00DE6C05"/>
    <w:rsid w:val="00DF21D5"/>
    <w:rsid w:val="00DF2E2D"/>
    <w:rsid w:val="00DF3F0A"/>
    <w:rsid w:val="00E37BA4"/>
    <w:rsid w:val="00E405F3"/>
    <w:rsid w:val="00E557E9"/>
    <w:rsid w:val="00E61EAA"/>
    <w:rsid w:val="00E64ED6"/>
    <w:rsid w:val="00E66FBE"/>
    <w:rsid w:val="00E871F1"/>
    <w:rsid w:val="00E92157"/>
    <w:rsid w:val="00E94195"/>
    <w:rsid w:val="00EA0D36"/>
    <w:rsid w:val="00EA27E7"/>
    <w:rsid w:val="00ED58D5"/>
    <w:rsid w:val="00EE6FF8"/>
    <w:rsid w:val="00F014A0"/>
    <w:rsid w:val="00F01C1B"/>
    <w:rsid w:val="00F263AB"/>
    <w:rsid w:val="00F454D1"/>
    <w:rsid w:val="00F7415A"/>
    <w:rsid w:val="00F96A23"/>
    <w:rsid w:val="00FB04D4"/>
    <w:rsid w:val="00FD122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6E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E405F3"/>
    <w:pPr>
      <w:ind w:left="115"/>
      <w:outlineLvl w:val="0"/>
    </w:pPr>
    <w:rPr>
      <w:rFonts w:ascii="Arial" w:eastAsia="Arial" w:hAnsi="Arial"/>
      <w:b/>
      <w:bCs/>
      <w:lang w:val="en-US"/>
    </w:rPr>
  </w:style>
  <w:style w:type="paragraph" w:styleId="Ttulo2">
    <w:name w:val="heading 2"/>
    <w:basedOn w:val="Normal"/>
    <w:link w:val="Ttulo2Char"/>
    <w:uiPriority w:val="1"/>
    <w:qFormat/>
    <w:rsid w:val="00E405F3"/>
    <w:pPr>
      <w:ind w:left="683"/>
      <w:outlineLvl w:val="1"/>
    </w:pPr>
    <w:rPr>
      <w:rFonts w:ascii="Arial" w:eastAsia="Arial" w:hAnsi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E40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E405F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405F3"/>
  </w:style>
  <w:style w:type="paragraph" w:styleId="Corpodetexto">
    <w:name w:val="Body Text"/>
    <w:basedOn w:val="Normal"/>
    <w:link w:val="CorpodetextoChar"/>
    <w:uiPriority w:val="1"/>
    <w:qFormat/>
    <w:rsid w:val="00E405F3"/>
    <w:pPr>
      <w:ind w:left="115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05F3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405F3"/>
    <w:rPr>
      <w:lang w:val="en-US"/>
    </w:rPr>
  </w:style>
  <w:style w:type="paragraph" w:customStyle="1" w:styleId="paragrafopadrao">
    <w:name w:val="paragrafopadrao"/>
    <w:basedOn w:val="Normal"/>
    <w:rsid w:val="00E405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405F3"/>
    <w:rPr>
      <w:b/>
      <w:bCs/>
    </w:rPr>
  </w:style>
  <w:style w:type="table" w:styleId="Tabelacomgrade">
    <w:name w:val="Table Grid"/>
    <w:basedOn w:val="Tabelanormal"/>
    <w:uiPriority w:val="39"/>
    <w:rsid w:val="009A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D5BB9"/>
    <w:rPr>
      <w:i/>
      <w:iCs/>
    </w:rPr>
  </w:style>
  <w:style w:type="paragraph" w:customStyle="1" w:styleId="artigo">
    <w:name w:val="artigo"/>
    <w:basedOn w:val="Normal"/>
    <w:rsid w:val="00450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rsid w:val="00C05C6E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E-X">
    <w:name w:val="E-X."/>
    <w:basedOn w:val="PargrafodaLista"/>
    <w:rsid w:val="00E557E9"/>
    <w:pPr>
      <w:numPr>
        <w:numId w:val="7"/>
      </w:numPr>
      <w:tabs>
        <w:tab w:val="left" w:pos="142"/>
      </w:tabs>
      <w:ind w:left="252" w:hanging="248"/>
      <w:jc w:val="both"/>
    </w:pPr>
    <w:rPr>
      <w:rFonts w:ascii="Arial" w:hAnsi="Arial" w:cs="Arial"/>
      <w:sz w:val="22"/>
      <w:lang w:val="pt-BR"/>
    </w:rPr>
  </w:style>
  <w:style w:type="character" w:styleId="Hyperlink">
    <w:name w:val="Hyperlink"/>
    <w:rsid w:val="00AA0C09"/>
    <w:rPr>
      <w:color w:val="0000FF"/>
      <w:u w:val="single"/>
    </w:rPr>
  </w:style>
  <w:style w:type="paragraph" w:customStyle="1" w:styleId="04partenormativa">
    <w:name w:val="04partenormativa"/>
    <w:basedOn w:val="Normal"/>
    <w:rsid w:val="0091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3C3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o1">
    <w:name w:val="texto1"/>
    <w:basedOn w:val="Normal"/>
    <w:rsid w:val="003816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17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1720"/>
    <w:rPr>
      <w:rFonts w:ascii="Cambria" w:eastAsia="MS Mincho" w:hAnsi="Cambria" w:cs="Cambria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A81720"/>
    <w:rPr>
      <w:vertAlign w:val="superscript"/>
    </w:rPr>
  </w:style>
  <w:style w:type="paragraph" w:customStyle="1" w:styleId="identificacaoprocesso">
    <w:name w:val="identificacao_processo"/>
    <w:basedOn w:val="Normal"/>
    <w:rsid w:val="00344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arte">
    <w:name w:val="parte"/>
    <w:basedOn w:val="Normal"/>
    <w:rsid w:val="00344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ipoparte">
    <w:name w:val="tipo_parte"/>
    <w:basedOn w:val="Fontepargpadro"/>
    <w:rsid w:val="00344C05"/>
  </w:style>
  <w:style w:type="character" w:customStyle="1" w:styleId="nomeparte">
    <w:name w:val="nome_parte"/>
    <w:basedOn w:val="Fontepargpadro"/>
    <w:rsid w:val="00344C05"/>
  </w:style>
  <w:style w:type="paragraph" w:customStyle="1" w:styleId="titulo">
    <w:name w:val="titulo"/>
    <w:basedOn w:val="Normal"/>
    <w:rsid w:val="00344C0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024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3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7779-275D-4C69-9692-3850932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6870</Characters>
  <Application>Microsoft Office Word</Application>
  <DocSecurity>0</DocSecurity>
  <Lines>137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2020-12-16T20:22:00Z</cp:lastPrinted>
  <dcterms:created xsi:type="dcterms:W3CDTF">2020-12-07T23:11:00Z</dcterms:created>
  <dcterms:modified xsi:type="dcterms:W3CDTF">2020-12-16T20:22:00Z</dcterms:modified>
</cp:coreProperties>
</file>