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80" w:rsidRDefault="00A01380" w:rsidP="00A01380">
      <w:pPr>
        <w:pStyle w:val="Default"/>
        <w:ind w:left="-284" w:right="-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1660"/>
        <w:tblW w:w="964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27725" w:rsidRPr="00B6066A" w:rsidTr="00827725">
        <w:trPr>
          <w:trHeight w:val="280"/>
        </w:trPr>
        <w:tc>
          <w:tcPr>
            <w:tcW w:w="1418" w:type="dxa"/>
            <w:tcBorders>
              <w:left w:val="nil"/>
            </w:tcBorders>
            <w:shd w:val="clear" w:color="auto" w:fill="F1F1F1"/>
          </w:tcPr>
          <w:p w:rsidR="00827725" w:rsidRPr="00B6066A" w:rsidRDefault="00827725" w:rsidP="00827725">
            <w:pPr>
              <w:pStyle w:val="TableParagraph"/>
              <w:spacing w:before="5"/>
              <w:ind w:left="1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PROCESSO</w:t>
            </w:r>
          </w:p>
        </w:tc>
        <w:tc>
          <w:tcPr>
            <w:tcW w:w="8222" w:type="dxa"/>
            <w:tcBorders>
              <w:right w:val="nil"/>
            </w:tcBorders>
            <w:shd w:val="clear" w:color="auto" w:fill="auto"/>
          </w:tcPr>
          <w:p w:rsidR="00827725" w:rsidRPr="00B6066A" w:rsidRDefault="00827725" w:rsidP="00827725">
            <w:pPr>
              <w:pStyle w:val="TableParagraph"/>
              <w:spacing w:before="5"/>
              <w:ind w:left="10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CPFI-CAU/PR</w:t>
            </w:r>
          </w:p>
        </w:tc>
      </w:tr>
      <w:tr w:rsidR="00827725" w:rsidRPr="00B6066A" w:rsidTr="00827725">
        <w:trPr>
          <w:trHeight w:val="280"/>
        </w:trPr>
        <w:tc>
          <w:tcPr>
            <w:tcW w:w="1418" w:type="dxa"/>
            <w:tcBorders>
              <w:left w:val="nil"/>
            </w:tcBorders>
            <w:shd w:val="clear" w:color="auto" w:fill="F1F1F1"/>
          </w:tcPr>
          <w:p w:rsidR="00827725" w:rsidRPr="00B6066A" w:rsidRDefault="00827725" w:rsidP="00827725">
            <w:pPr>
              <w:pStyle w:val="TableParagraph"/>
              <w:spacing w:before="10" w:line="252" w:lineRule="exact"/>
              <w:ind w:left="110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INTERESSADO</w:t>
            </w:r>
          </w:p>
        </w:tc>
        <w:tc>
          <w:tcPr>
            <w:tcW w:w="8222" w:type="dxa"/>
            <w:tcBorders>
              <w:right w:val="nil"/>
            </w:tcBorders>
            <w:shd w:val="clear" w:color="auto" w:fill="auto"/>
          </w:tcPr>
          <w:p w:rsidR="00827725" w:rsidRPr="00B6066A" w:rsidRDefault="00827725" w:rsidP="00827725">
            <w:pPr>
              <w:pStyle w:val="TableParagraph"/>
              <w:spacing w:before="10" w:line="252" w:lineRule="exact"/>
              <w:ind w:left="105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PLENÁRIO DO CAU/PR</w:t>
            </w:r>
          </w:p>
        </w:tc>
      </w:tr>
      <w:tr w:rsidR="00827725" w:rsidRPr="00B6066A" w:rsidTr="00827725">
        <w:trPr>
          <w:trHeight w:val="245"/>
        </w:trPr>
        <w:tc>
          <w:tcPr>
            <w:tcW w:w="1418" w:type="dxa"/>
            <w:tcBorders>
              <w:left w:val="nil"/>
              <w:bottom w:val="single" w:sz="12" w:space="0" w:color="7E7E7E"/>
            </w:tcBorders>
            <w:shd w:val="clear" w:color="auto" w:fill="F1F1F1"/>
          </w:tcPr>
          <w:p w:rsidR="00827725" w:rsidRPr="00B6066A" w:rsidRDefault="00827725" w:rsidP="00827725">
            <w:pPr>
              <w:pStyle w:val="TableParagraph"/>
              <w:ind w:left="11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ASSUNTO</w:t>
            </w:r>
          </w:p>
        </w:tc>
        <w:tc>
          <w:tcPr>
            <w:tcW w:w="8222" w:type="dxa"/>
            <w:tcBorders>
              <w:bottom w:val="single" w:sz="12" w:space="0" w:color="7E7E7E"/>
              <w:right w:val="nil"/>
            </w:tcBorders>
            <w:shd w:val="clear" w:color="auto" w:fill="auto"/>
          </w:tcPr>
          <w:p w:rsidR="00827725" w:rsidRPr="00B6066A" w:rsidRDefault="00827725" w:rsidP="0082772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contextualSpacing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B6066A">
              <w:rPr>
                <w:rFonts w:cstheme="minorHAnsi"/>
                <w:b/>
                <w:sz w:val="18"/>
                <w:szCs w:val="18"/>
              </w:rPr>
              <w:t xml:space="preserve">APROVAÇÃO DAS GRATIFICAÇÕES PARA OS ASSISTENTES DAS COMISSÕES PERMANENTES </w:t>
            </w:r>
            <w:r w:rsidR="00B6066A">
              <w:rPr>
                <w:rFonts w:cstheme="minorHAnsi"/>
                <w:b/>
                <w:sz w:val="18"/>
                <w:szCs w:val="18"/>
              </w:rPr>
              <w:t xml:space="preserve">(COA, CPFI, CEP. CED, CEF) </w:t>
            </w:r>
            <w:r w:rsidRPr="00B6066A">
              <w:rPr>
                <w:rFonts w:cstheme="minorHAnsi"/>
                <w:b/>
                <w:sz w:val="18"/>
                <w:szCs w:val="18"/>
              </w:rPr>
              <w:t>E COMISSÃO PERMANENTE DE LICITAÇÃO (CPL) DO CAU/PR</w:t>
            </w:r>
          </w:p>
        </w:tc>
      </w:tr>
      <w:tr w:rsidR="00827725" w:rsidRPr="00B6066A" w:rsidTr="00827725">
        <w:trPr>
          <w:trHeight w:val="280"/>
        </w:trPr>
        <w:tc>
          <w:tcPr>
            <w:tcW w:w="9640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827725" w:rsidRPr="00B6066A" w:rsidRDefault="009A4E96" w:rsidP="00827725">
            <w:pPr>
              <w:pStyle w:val="TableParagraph"/>
              <w:spacing w:before="10" w:line="261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B6066A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t-BR"/>
              </w:rPr>
              <w:t>DELIBERAÇÃO Nº 018</w:t>
            </w:r>
            <w:r w:rsidR="00827725" w:rsidRPr="00B6066A">
              <w:rPr>
                <w:rFonts w:asciiTheme="minorHAnsi" w:hAnsiTheme="minorHAnsi" w:cstheme="minorHAnsi"/>
                <w:b/>
                <w:w w:val="105"/>
                <w:sz w:val="18"/>
                <w:szCs w:val="18"/>
                <w:lang w:val="pt-BR"/>
              </w:rPr>
              <w:t>/2021 CPFi-CAU/PR</w:t>
            </w:r>
          </w:p>
        </w:tc>
      </w:tr>
    </w:tbl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A COMISSÃO DE PLANEJAMENTO E FINANÇAS (CPFI-CAU/PR), reunida ordinariamente por meio de videoconferência, através da Plataforma Zoom </w:t>
      </w:r>
      <w:r w:rsidR="0067436E">
        <w:rPr>
          <w:rFonts w:asciiTheme="minorHAnsi" w:hAnsiTheme="minorHAnsi" w:cstheme="minorHAnsi"/>
          <w:sz w:val="18"/>
          <w:szCs w:val="18"/>
        </w:rPr>
        <w:t>(</w:t>
      </w:r>
      <w:r w:rsidR="0067436E" w:rsidRPr="0067436E">
        <w:rPr>
          <w:rFonts w:asciiTheme="minorHAnsi" w:hAnsiTheme="minorHAnsi" w:cstheme="minorHAnsi"/>
          <w:sz w:val="18"/>
          <w:szCs w:val="18"/>
        </w:rPr>
        <w:t>https://us02web.zoom.us/j/86073227059</w:t>
      </w:r>
      <w:r w:rsidR="0067436E">
        <w:rPr>
          <w:rFonts w:asciiTheme="minorHAnsi" w:hAnsiTheme="minorHAnsi" w:cstheme="minorHAnsi"/>
          <w:sz w:val="18"/>
          <w:szCs w:val="18"/>
        </w:rPr>
        <w:t xml:space="preserve">) </w:t>
      </w:r>
      <w:r w:rsidRPr="00B6066A">
        <w:rPr>
          <w:rFonts w:asciiTheme="minorHAnsi" w:hAnsiTheme="minorHAnsi" w:cstheme="minorHAnsi"/>
          <w:sz w:val="18"/>
          <w:szCs w:val="18"/>
        </w:rPr>
        <w:t xml:space="preserve">face a Pandemia Covid-19, no </w:t>
      </w:r>
      <w:r w:rsidR="00AD46EC">
        <w:rPr>
          <w:rFonts w:asciiTheme="minorHAnsi" w:hAnsiTheme="minorHAnsi" w:cstheme="minorHAnsi"/>
          <w:sz w:val="18"/>
          <w:szCs w:val="18"/>
        </w:rPr>
        <w:t>dia 27</w:t>
      </w:r>
      <w:r w:rsidRPr="00B6066A">
        <w:rPr>
          <w:rFonts w:asciiTheme="minorHAnsi" w:hAnsiTheme="minorHAnsi" w:cstheme="minorHAnsi"/>
          <w:sz w:val="18"/>
          <w:szCs w:val="18"/>
        </w:rPr>
        <w:t xml:space="preserve"> de julho de 2021, no uso das competên</w:t>
      </w:r>
      <w:r w:rsidR="00AD46EC">
        <w:rPr>
          <w:rFonts w:asciiTheme="minorHAnsi" w:hAnsiTheme="minorHAnsi" w:cstheme="minorHAnsi"/>
          <w:sz w:val="18"/>
          <w:szCs w:val="18"/>
        </w:rPr>
        <w:t>cias que lhe conferem o Art. 103</w:t>
      </w:r>
      <w:r w:rsidRPr="00B6066A">
        <w:rPr>
          <w:rFonts w:asciiTheme="minorHAnsi" w:hAnsiTheme="minorHAnsi" w:cstheme="minorHAnsi"/>
          <w:sz w:val="18"/>
          <w:szCs w:val="18"/>
        </w:rPr>
        <w:t xml:space="preserve"> do Regimento Interno do CAU/PR, após análise do assunto em epígrafe; e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Considerando </w:t>
      </w:r>
      <w:r w:rsidR="009A4E96" w:rsidRPr="00B6066A">
        <w:rPr>
          <w:rFonts w:asciiTheme="minorHAnsi" w:hAnsiTheme="minorHAnsi" w:cstheme="minorHAnsi"/>
          <w:sz w:val="18"/>
          <w:szCs w:val="18"/>
        </w:rPr>
        <w:t xml:space="preserve">o </w:t>
      </w:r>
      <w:r w:rsidRPr="00B6066A">
        <w:rPr>
          <w:rFonts w:asciiTheme="minorHAnsi" w:hAnsiTheme="minorHAnsi" w:cstheme="minorHAnsi"/>
          <w:sz w:val="18"/>
          <w:szCs w:val="18"/>
        </w:rPr>
        <w:t xml:space="preserve">conhecimento sobre a matéria;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>Considerando a proposta de implementação de g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ratificação para </w:t>
      </w:r>
      <w:r w:rsidRPr="00B6066A">
        <w:rPr>
          <w:rFonts w:asciiTheme="minorHAnsi" w:hAnsiTheme="minorHAnsi" w:cstheme="minorHAnsi"/>
          <w:sz w:val="18"/>
          <w:szCs w:val="18"/>
        </w:rPr>
        <w:t>os assistentes das Comissões P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ermanentes e membros da Comissão Permanente de Licitação (CPL) acatadas pela COA-CAU/PR através da Deliberação nº 012/2021; </w:t>
      </w:r>
    </w:p>
    <w:p w:rsidR="009A4E96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9A4E96" w:rsidRPr="00B6066A" w:rsidRDefault="009A4E96" w:rsidP="009A4E96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Considerando que as gratificações têm natureza jurídica de remuneração pecuniária </w:t>
      </w:r>
      <w:proofErr w:type="spellStart"/>
      <w:r w:rsidRPr="00B6066A">
        <w:rPr>
          <w:rFonts w:asciiTheme="minorHAnsi" w:hAnsiTheme="minorHAnsi" w:cstheme="minorHAnsi"/>
          <w:sz w:val="18"/>
          <w:szCs w:val="18"/>
        </w:rPr>
        <w:t>retributiva</w:t>
      </w:r>
      <w:proofErr w:type="spellEnd"/>
      <w:r w:rsidRPr="00B6066A">
        <w:rPr>
          <w:rFonts w:asciiTheme="minorHAnsi" w:hAnsiTheme="minorHAnsi" w:cstheme="minorHAnsi"/>
          <w:sz w:val="18"/>
          <w:szCs w:val="18"/>
        </w:rPr>
        <w:t xml:space="preserve"> ou </w:t>
      </w:r>
      <w:proofErr w:type="spellStart"/>
      <w:r w:rsidRPr="00B6066A">
        <w:rPr>
          <w:rFonts w:asciiTheme="minorHAnsi" w:hAnsiTheme="minorHAnsi" w:cstheme="minorHAnsi"/>
          <w:sz w:val="18"/>
          <w:szCs w:val="18"/>
        </w:rPr>
        <w:t>contraprestacional</w:t>
      </w:r>
      <w:proofErr w:type="spellEnd"/>
      <w:r w:rsidRPr="00B6066A">
        <w:rPr>
          <w:rFonts w:asciiTheme="minorHAnsi" w:hAnsiTheme="minorHAnsi" w:cstheme="minorHAnsi"/>
          <w:sz w:val="18"/>
          <w:szCs w:val="18"/>
        </w:rPr>
        <w:t xml:space="preserve">, destinando-se a recompensar empregados públicos pelo exercício de atribuições excepcionais, eventuais e transitórias, que </w:t>
      </w:r>
      <w:proofErr w:type="gramStart"/>
      <w:r w:rsidRPr="00B6066A">
        <w:rPr>
          <w:rFonts w:asciiTheme="minorHAnsi" w:hAnsiTheme="minorHAnsi" w:cstheme="minorHAnsi"/>
          <w:sz w:val="18"/>
          <w:szCs w:val="18"/>
        </w:rPr>
        <w:t>excedam</w:t>
      </w:r>
      <w:proofErr w:type="gramEnd"/>
      <w:r w:rsidRPr="00B6066A">
        <w:rPr>
          <w:rFonts w:asciiTheme="minorHAnsi" w:hAnsiTheme="minorHAnsi" w:cstheme="minorHAnsi"/>
          <w:sz w:val="18"/>
          <w:szCs w:val="18"/>
        </w:rPr>
        <w:t xml:space="preserve"> mas não comprometam aquelas ordinárias afetas ao cargo ocupado,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>Considerando a análise contábil-financeira bem como o respectivo impacto orçamentário nas receitas do CAU/PR</w:t>
      </w:r>
      <w:r w:rsidR="009A4E96" w:rsidRPr="00B6066A">
        <w:rPr>
          <w:rFonts w:asciiTheme="minorHAnsi" w:hAnsiTheme="minorHAnsi" w:cstheme="minorHAnsi"/>
          <w:sz w:val="18"/>
          <w:szCs w:val="18"/>
        </w:rPr>
        <w:t>;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>Considerando o cumprimento do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 percentual de 55% </w:t>
      </w:r>
      <w:r w:rsidR="003D0055" w:rsidRPr="00B6066A">
        <w:rPr>
          <w:rFonts w:asciiTheme="minorHAnsi" w:hAnsiTheme="minorHAnsi" w:cstheme="minorHAnsi"/>
          <w:sz w:val="18"/>
          <w:szCs w:val="18"/>
        </w:rPr>
        <w:t xml:space="preserve">(cinquenta e cinco por cento) 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determinado pelo TCU </w:t>
      </w:r>
      <w:r w:rsidR="003D0055" w:rsidRPr="00B6066A">
        <w:rPr>
          <w:rFonts w:asciiTheme="minorHAnsi" w:hAnsiTheme="minorHAnsi" w:cstheme="minorHAnsi"/>
          <w:sz w:val="18"/>
          <w:szCs w:val="18"/>
        </w:rPr>
        <w:t xml:space="preserve">(Tribunal de Contas da União) 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como </w:t>
      </w:r>
      <w:r w:rsidR="003D0055" w:rsidRPr="00B6066A">
        <w:rPr>
          <w:rFonts w:asciiTheme="minorHAnsi" w:hAnsiTheme="minorHAnsi" w:cstheme="minorHAnsi"/>
          <w:sz w:val="18"/>
          <w:szCs w:val="18"/>
        </w:rPr>
        <w:t xml:space="preserve">índice 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limite para </w:t>
      </w:r>
      <w:r w:rsidR="009F6F0F" w:rsidRPr="00B6066A">
        <w:rPr>
          <w:rFonts w:asciiTheme="minorHAnsi" w:hAnsiTheme="minorHAnsi" w:cstheme="minorHAnsi"/>
          <w:sz w:val="18"/>
          <w:szCs w:val="18"/>
        </w:rPr>
        <w:t>despesas de pessoal nos</w:t>
      </w:r>
      <w:r w:rsidR="00A01380" w:rsidRPr="00B6066A">
        <w:rPr>
          <w:rFonts w:asciiTheme="minorHAnsi" w:hAnsiTheme="minorHAnsi" w:cstheme="minorHAnsi"/>
          <w:sz w:val="18"/>
          <w:szCs w:val="18"/>
        </w:rPr>
        <w:t xml:space="preserve"> órgãos públicos </w:t>
      </w:r>
      <w:r w:rsidR="009F6F0F" w:rsidRPr="00B6066A">
        <w:rPr>
          <w:rFonts w:asciiTheme="minorHAnsi" w:hAnsiTheme="minorHAnsi" w:cstheme="minorHAnsi"/>
          <w:sz w:val="18"/>
          <w:szCs w:val="18"/>
        </w:rPr>
        <w:t>conforme previsto na Lei de Responsabilidade Fiscal (Lei Complementar nº 101/2000)</w:t>
      </w:r>
    </w:p>
    <w:p w:rsidR="009A4E96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Considerando que as gratificações têm natureza jurídica de remuneração pecuniária </w:t>
      </w:r>
      <w:proofErr w:type="spellStart"/>
      <w:r w:rsidRPr="00B6066A">
        <w:rPr>
          <w:rFonts w:asciiTheme="minorHAnsi" w:hAnsiTheme="minorHAnsi" w:cstheme="minorHAnsi"/>
          <w:sz w:val="18"/>
          <w:szCs w:val="18"/>
        </w:rPr>
        <w:t>retributiva</w:t>
      </w:r>
      <w:proofErr w:type="spellEnd"/>
      <w:r w:rsidRPr="00B6066A">
        <w:rPr>
          <w:rFonts w:asciiTheme="minorHAnsi" w:hAnsiTheme="minorHAnsi" w:cstheme="minorHAnsi"/>
          <w:sz w:val="18"/>
          <w:szCs w:val="18"/>
        </w:rPr>
        <w:t xml:space="preserve"> ou </w:t>
      </w:r>
      <w:proofErr w:type="spellStart"/>
      <w:r w:rsidRPr="00B6066A">
        <w:rPr>
          <w:rFonts w:asciiTheme="minorHAnsi" w:hAnsiTheme="minorHAnsi" w:cstheme="minorHAnsi"/>
          <w:sz w:val="18"/>
          <w:szCs w:val="18"/>
        </w:rPr>
        <w:t>contraprestacional</w:t>
      </w:r>
      <w:proofErr w:type="spellEnd"/>
      <w:r w:rsidRPr="00B6066A">
        <w:rPr>
          <w:rFonts w:asciiTheme="minorHAnsi" w:hAnsiTheme="minorHAnsi" w:cstheme="minorHAnsi"/>
          <w:sz w:val="18"/>
          <w:szCs w:val="18"/>
        </w:rPr>
        <w:t xml:space="preserve">, destinando-se a recompensar empregados públicos pelo exercício de atribuições excepcionais, eventuais e transitórias, que </w:t>
      </w:r>
      <w:proofErr w:type="gramStart"/>
      <w:r w:rsidRPr="00B6066A">
        <w:rPr>
          <w:rFonts w:asciiTheme="minorHAnsi" w:hAnsiTheme="minorHAnsi" w:cstheme="minorHAnsi"/>
          <w:sz w:val="18"/>
          <w:szCs w:val="18"/>
        </w:rPr>
        <w:t>excedam</w:t>
      </w:r>
      <w:proofErr w:type="gramEnd"/>
      <w:r w:rsidRPr="00B6066A">
        <w:rPr>
          <w:rFonts w:asciiTheme="minorHAnsi" w:hAnsiTheme="minorHAnsi" w:cstheme="minorHAnsi"/>
          <w:sz w:val="18"/>
          <w:szCs w:val="18"/>
        </w:rPr>
        <w:t xml:space="preserve"> mas não comprometam aquelas ordinárias afetas ao cargo ocupado, </w:t>
      </w:r>
    </w:p>
    <w:p w:rsidR="009A4E96" w:rsidRPr="00B6066A" w:rsidRDefault="009A4E96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Considerando que todas as deliberações da Comissão devem ser encaminhadas à Presidência do CAU/PR, para verificação e encaminhamentos, conforme Art. 122 do Regimento Interno do CAU/PR; e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6066A">
        <w:rPr>
          <w:rFonts w:asciiTheme="minorHAnsi" w:hAnsiTheme="minorHAnsi" w:cstheme="minorHAnsi"/>
          <w:b/>
          <w:bCs/>
          <w:sz w:val="18"/>
          <w:szCs w:val="18"/>
        </w:rPr>
        <w:t xml:space="preserve">DELIBEROU: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b/>
          <w:bCs/>
          <w:sz w:val="18"/>
          <w:szCs w:val="18"/>
        </w:rPr>
        <w:t xml:space="preserve">1. </w:t>
      </w:r>
      <w:r w:rsidRPr="00B6066A">
        <w:rPr>
          <w:rFonts w:asciiTheme="minorHAnsi" w:hAnsiTheme="minorHAnsi" w:cstheme="minorHAnsi"/>
          <w:sz w:val="18"/>
          <w:szCs w:val="18"/>
        </w:rPr>
        <w:t xml:space="preserve">Pela </w:t>
      </w:r>
      <w:r w:rsidR="001C33DF" w:rsidRPr="001C33DF">
        <w:rPr>
          <w:rFonts w:asciiTheme="minorHAnsi" w:hAnsiTheme="minorHAnsi" w:cstheme="minorHAnsi"/>
          <w:sz w:val="18"/>
          <w:szCs w:val="18"/>
        </w:rPr>
        <w:t xml:space="preserve">APROVAÇÃO DAS GRATIFICAÇÕES AOS ASSISTENTES </w:t>
      </w:r>
      <w:r w:rsidR="001C33DF">
        <w:rPr>
          <w:rFonts w:asciiTheme="minorHAnsi" w:hAnsiTheme="minorHAnsi" w:cstheme="minorHAnsi"/>
          <w:sz w:val="18"/>
          <w:szCs w:val="18"/>
        </w:rPr>
        <w:t xml:space="preserve">DAS </w:t>
      </w:r>
      <w:r w:rsidR="001C33DF" w:rsidRPr="001C33DF">
        <w:rPr>
          <w:rFonts w:asciiTheme="minorHAnsi" w:hAnsiTheme="minorHAnsi" w:cstheme="minorHAnsi"/>
          <w:sz w:val="18"/>
          <w:szCs w:val="18"/>
        </w:rPr>
        <w:t>COMISSÕES ORDINÁRIAS E LICITAÇÃO (CPL)</w:t>
      </w:r>
      <w:r w:rsidR="001C33DF">
        <w:rPr>
          <w:rFonts w:asciiTheme="minorHAnsi" w:hAnsiTheme="minorHAnsi" w:cstheme="minorHAnsi"/>
          <w:sz w:val="18"/>
          <w:szCs w:val="18"/>
        </w:rPr>
        <w:t xml:space="preserve"> </w:t>
      </w:r>
      <w:r w:rsidR="001C33DF" w:rsidRPr="001C33DF">
        <w:rPr>
          <w:rFonts w:asciiTheme="minorHAnsi" w:hAnsiTheme="minorHAnsi" w:cstheme="minorHAnsi"/>
          <w:sz w:val="18"/>
          <w:szCs w:val="18"/>
        </w:rPr>
        <w:t>com a respectiva apresenta</w:t>
      </w:r>
      <w:r w:rsidR="001C33DF">
        <w:rPr>
          <w:rFonts w:asciiTheme="minorHAnsi" w:hAnsiTheme="minorHAnsi" w:cstheme="minorHAnsi"/>
          <w:sz w:val="18"/>
          <w:szCs w:val="18"/>
        </w:rPr>
        <w:t>ção dos estudos financeiros e orçamentários em P</w:t>
      </w:r>
      <w:r w:rsidR="001C33DF" w:rsidRPr="001C33DF">
        <w:rPr>
          <w:rFonts w:asciiTheme="minorHAnsi" w:hAnsiTheme="minorHAnsi" w:cstheme="minorHAnsi"/>
          <w:sz w:val="18"/>
          <w:szCs w:val="18"/>
        </w:rPr>
        <w:t>lenária</w:t>
      </w:r>
      <w:r w:rsidR="001C33DF">
        <w:rPr>
          <w:rFonts w:asciiTheme="minorHAnsi" w:hAnsiTheme="minorHAnsi" w:cstheme="minorHAnsi"/>
          <w:sz w:val="18"/>
          <w:szCs w:val="18"/>
        </w:rPr>
        <w:t>, considerando o seguinte quantitativo de membros e valores</w:t>
      </w:r>
      <w:r w:rsidRPr="00B6066A">
        <w:rPr>
          <w:rFonts w:asciiTheme="minorHAnsi" w:hAnsiTheme="minorHAnsi" w:cstheme="minorHAnsi"/>
          <w:sz w:val="18"/>
          <w:szCs w:val="18"/>
        </w:rPr>
        <w:t xml:space="preserve"> sem prejuízo ao CAU/PR: 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>a) Presidente</w:t>
      </w:r>
      <w:r w:rsidR="0084723B" w:rsidRPr="00B6066A">
        <w:rPr>
          <w:rFonts w:asciiTheme="minorHAnsi" w:hAnsiTheme="minorHAnsi" w:cstheme="minorHAnsi"/>
          <w:sz w:val="18"/>
          <w:szCs w:val="18"/>
        </w:rPr>
        <w:t xml:space="preserve"> </w:t>
      </w:r>
      <w:r w:rsidRPr="00B6066A">
        <w:rPr>
          <w:rFonts w:asciiTheme="minorHAnsi" w:hAnsiTheme="minorHAnsi" w:cstheme="minorHAnsi"/>
          <w:sz w:val="18"/>
          <w:szCs w:val="18"/>
        </w:rPr>
        <w:t>Comissão Permanente de Licitação e Pregoeiro</w:t>
      </w:r>
      <w:r w:rsidR="00AD46EC">
        <w:rPr>
          <w:rFonts w:asciiTheme="minorHAnsi" w:hAnsiTheme="minorHAnsi" w:cstheme="minorHAnsi"/>
          <w:sz w:val="18"/>
          <w:szCs w:val="18"/>
        </w:rPr>
        <w:t xml:space="preserve"> (02 colaboradores): </w:t>
      </w:r>
      <w:r w:rsidRPr="00B6066A">
        <w:rPr>
          <w:rFonts w:asciiTheme="minorHAnsi" w:hAnsiTheme="minorHAnsi" w:cstheme="minorHAnsi"/>
          <w:sz w:val="18"/>
          <w:szCs w:val="18"/>
        </w:rPr>
        <w:t xml:space="preserve">gratificação de R$ 700,00 (setecentos reais) </w:t>
      </w: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>b) Membro</w:t>
      </w:r>
      <w:r w:rsidR="00AD46EC">
        <w:rPr>
          <w:rFonts w:asciiTheme="minorHAnsi" w:hAnsiTheme="minorHAnsi" w:cstheme="minorHAnsi"/>
          <w:sz w:val="18"/>
          <w:szCs w:val="18"/>
        </w:rPr>
        <w:t>s</w:t>
      </w:r>
      <w:r w:rsidRPr="00B6066A">
        <w:rPr>
          <w:rFonts w:asciiTheme="minorHAnsi" w:hAnsiTheme="minorHAnsi" w:cstheme="minorHAnsi"/>
          <w:sz w:val="18"/>
          <w:szCs w:val="18"/>
        </w:rPr>
        <w:t xml:space="preserve"> da Comissão Permanente de Licitação – CPL</w:t>
      </w:r>
      <w:r w:rsidR="00AD46EC">
        <w:rPr>
          <w:rFonts w:asciiTheme="minorHAnsi" w:hAnsiTheme="minorHAnsi" w:cstheme="minorHAnsi"/>
          <w:sz w:val="18"/>
          <w:szCs w:val="18"/>
        </w:rPr>
        <w:t xml:space="preserve"> (03 colaboradores): </w:t>
      </w:r>
      <w:r w:rsidRPr="00B6066A">
        <w:rPr>
          <w:rFonts w:asciiTheme="minorHAnsi" w:hAnsiTheme="minorHAnsi" w:cstheme="minorHAnsi"/>
          <w:sz w:val="18"/>
          <w:szCs w:val="18"/>
        </w:rPr>
        <w:t xml:space="preserve">gratificação </w:t>
      </w:r>
      <w:r w:rsidR="0084723B" w:rsidRPr="00B6066A">
        <w:rPr>
          <w:rFonts w:asciiTheme="minorHAnsi" w:hAnsiTheme="minorHAnsi" w:cstheme="minorHAnsi"/>
          <w:sz w:val="18"/>
          <w:szCs w:val="18"/>
        </w:rPr>
        <w:t xml:space="preserve">de </w:t>
      </w:r>
      <w:r w:rsidRPr="00B6066A">
        <w:rPr>
          <w:rFonts w:asciiTheme="minorHAnsi" w:hAnsiTheme="minorHAnsi" w:cstheme="minorHAnsi"/>
          <w:sz w:val="18"/>
          <w:szCs w:val="18"/>
        </w:rPr>
        <w:t xml:space="preserve">R$ 500,00 (quinhentos reais); </w:t>
      </w:r>
    </w:p>
    <w:p w:rsidR="00AD46EC" w:rsidRDefault="0084723B" w:rsidP="00AD46EC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sz w:val="18"/>
          <w:szCs w:val="18"/>
        </w:rPr>
        <w:t xml:space="preserve">c) </w:t>
      </w:r>
      <w:r w:rsidR="00A01380" w:rsidRPr="00B6066A">
        <w:rPr>
          <w:rFonts w:asciiTheme="minorHAnsi" w:hAnsiTheme="minorHAnsi" w:cstheme="minorHAnsi"/>
          <w:sz w:val="18"/>
          <w:szCs w:val="18"/>
        </w:rPr>
        <w:t>Assistentes de Comissões permanentes no âmbito</w:t>
      </w:r>
      <w:r w:rsidRPr="00B6066A">
        <w:rPr>
          <w:rFonts w:asciiTheme="minorHAnsi" w:hAnsiTheme="minorHAnsi" w:cstheme="minorHAnsi"/>
          <w:sz w:val="18"/>
          <w:szCs w:val="18"/>
        </w:rPr>
        <w:t xml:space="preserve"> do CAU/PR</w:t>
      </w:r>
      <w:r w:rsidR="00AD46EC">
        <w:rPr>
          <w:rFonts w:asciiTheme="minorHAnsi" w:hAnsiTheme="minorHAnsi" w:cstheme="minorHAnsi"/>
          <w:sz w:val="18"/>
          <w:szCs w:val="18"/>
        </w:rPr>
        <w:t xml:space="preserve"> (05 colaboradores): </w:t>
      </w:r>
      <w:r w:rsidRPr="00B6066A">
        <w:rPr>
          <w:rFonts w:asciiTheme="minorHAnsi" w:hAnsiTheme="minorHAnsi" w:cstheme="minorHAnsi"/>
          <w:sz w:val="18"/>
          <w:szCs w:val="18"/>
        </w:rPr>
        <w:t xml:space="preserve">gratificação de </w:t>
      </w:r>
      <w:r w:rsidR="00AD46EC">
        <w:rPr>
          <w:rFonts w:asciiTheme="minorHAnsi" w:hAnsiTheme="minorHAnsi" w:cstheme="minorHAnsi"/>
          <w:sz w:val="18"/>
          <w:szCs w:val="18"/>
        </w:rPr>
        <w:t>R$ R$ 500,00 (quinhentos reais)</w:t>
      </w:r>
    </w:p>
    <w:p w:rsidR="001C33DF" w:rsidRDefault="001C33DF" w:rsidP="00AD46EC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D46EC" w:rsidRDefault="00AD46EC" w:rsidP="00AD46EC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Com </w:t>
      </w:r>
      <w:r w:rsidRPr="00AD46EC">
        <w:rPr>
          <w:rFonts w:asciiTheme="minorHAnsi" w:hAnsiTheme="minorHAnsi" w:cstheme="minorHAnsi"/>
          <w:sz w:val="18"/>
          <w:szCs w:val="18"/>
        </w:rPr>
        <w:t xml:space="preserve">02 (dois) votos favoráveis dos Conselheiros </w:t>
      </w:r>
      <w:proofErr w:type="spellStart"/>
      <w:r w:rsidRPr="00AD46EC">
        <w:rPr>
          <w:rFonts w:asciiTheme="minorHAnsi" w:hAnsiTheme="minorHAnsi" w:cstheme="minorHAnsi"/>
          <w:sz w:val="18"/>
          <w:szCs w:val="18"/>
        </w:rPr>
        <w:t>Oigre</w:t>
      </w:r>
      <w:r>
        <w:rPr>
          <w:rFonts w:asciiTheme="minorHAnsi" w:hAnsiTheme="minorHAnsi" w:cstheme="minorHAnsi"/>
          <w:sz w:val="18"/>
          <w:szCs w:val="18"/>
        </w:rPr>
        <w:t>s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Macedo e Paula Vaccari </w:t>
      </w:r>
      <w:proofErr w:type="spellStart"/>
      <w:r>
        <w:rPr>
          <w:rFonts w:asciiTheme="minorHAnsi" w:hAnsiTheme="minorHAnsi" w:cstheme="minorHAnsi"/>
          <w:sz w:val="18"/>
          <w:szCs w:val="18"/>
        </w:rPr>
        <w:t>Toppel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e </w:t>
      </w:r>
      <w:bookmarkStart w:id="0" w:name="_GoBack"/>
      <w:bookmarkEnd w:id="0"/>
      <w:r w:rsidRPr="00AD46EC">
        <w:rPr>
          <w:rFonts w:asciiTheme="minorHAnsi" w:hAnsiTheme="minorHAnsi" w:cstheme="minorHAnsi"/>
          <w:sz w:val="18"/>
          <w:szCs w:val="18"/>
        </w:rPr>
        <w:t>01 (um) voto desfavorável do C</w:t>
      </w:r>
      <w:r>
        <w:rPr>
          <w:rFonts w:asciiTheme="minorHAnsi" w:hAnsiTheme="minorHAnsi" w:cstheme="minorHAnsi"/>
          <w:sz w:val="18"/>
          <w:szCs w:val="18"/>
        </w:rPr>
        <w:t xml:space="preserve">onselheiro </w:t>
      </w:r>
      <w:proofErr w:type="spellStart"/>
      <w:r>
        <w:rPr>
          <w:rFonts w:asciiTheme="minorHAnsi" w:hAnsiTheme="minorHAnsi" w:cstheme="minorHAnsi"/>
          <w:sz w:val="18"/>
          <w:szCs w:val="18"/>
        </w:rPr>
        <w:t>Jeancarlo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Versetti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D46EC">
        <w:rPr>
          <w:rFonts w:asciiTheme="minorHAnsi" w:hAnsiTheme="minorHAnsi" w:cstheme="minorHAnsi"/>
          <w:sz w:val="18"/>
          <w:szCs w:val="18"/>
        </w:rPr>
        <w:t xml:space="preserve">considerando </w:t>
      </w:r>
      <w:r>
        <w:rPr>
          <w:rFonts w:asciiTheme="minorHAnsi" w:hAnsiTheme="minorHAnsi" w:cstheme="minorHAnsi"/>
          <w:sz w:val="18"/>
          <w:szCs w:val="18"/>
        </w:rPr>
        <w:t>“</w:t>
      </w:r>
      <w:r w:rsidRPr="00AD46EC">
        <w:rPr>
          <w:rFonts w:asciiTheme="minorHAnsi" w:hAnsiTheme="minorHAnsi" w:cstheme="minorHAnsi"/>
          <w:i/>
          <w:sz w:val="18"/>
          <w:szCs w:val="18"/>
        </w:rPr>
        <w:t>o Plano de Cargo, Carreira e Remuneração do CAUBR, Anexo II, item 1.3.11 que cita o auxílio durante Reunião de Comissões e Plenária. E ainda, não foi apresentada a alteração deste</w:t>
      </w:r>
      <w:r>
        <w:rPr>
          <w:rFonts w:asciiTheme="minorHAnsi" w:hAnsiTheme="minorHAnsi" w:cstheme="minorHAnsi"/>
          <w:i/>
          <w:sz w:val="18"/>
          <w:szCs w:val="18"/>
        </w:rPr>
        <w:t xml:space="preserve"> regimento pelo CAU/</w:t>
      </w:r>
      <w:r w:rsidRPr="00AD46EC">
        <w:rPr>
          <w:rFonts w:asciiTheme="minorHAnsi" w:hAnsiTheme="minorHAnsi" w:cstheme="minorHAnsi"/>
          <w:i/>
          <w:sz w:val="18"/>
          <w:szCs w:val="18"/>
        </w:rPr>
        <w:t>PR atualmente</w:t>
      </w:r>
      <w:r>
        <w:rPr>
          <w:rFonts w:asciiTheme="minorHAnsi" w:hAnsiTheme="minorHAnsi" w:cstheme="minorHAnsi"/>
          <w:sz w:val="18"/>
          <w:szCs w:val="18"/>
        </w:rPr>
        <w:t xml:space="preserve">” </w:t>
      </w:r>
    </w:p>
    <w:p w:rsidR="00AD46EC" w:rsidRPr="00B6066A" w:rsidRDefault="00AD46EC" w:rsidP="00AD46EC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</w:p>
    <w:p w:rsidR="00A01380" w:rsidRPr="00B6066A" w:rsidRDefault="00A01380" w:rsidP="00A01380">
      <w:pPr>
        <w:pStyle w:val="Default"/>
        <w:ind w:left="-567" w:right="-567"/>
        <w:jc w:val="both"/>
        <w:rPr>
          <w:rFonts w:asciiTheme="minorHAnsi" w:hAnsiTheme="minorHAnsi" w:cstheme="minorHAnsi"/>
          <w:sz w:val="18"/>
          <w:szCs w:val="18"/>
        </w:rPr>
      </w:pPr>
      <w:r w:rsidRPr="00B6066A">
        <w:rPr>
          <w:rFonts w:asciiTheme="minorHAnsi" w:hAnsiTheme="minorHAnsi" w:cstheme="minorHAnsi"/>
          <w:b/>
          <w:bCs/>
          <w:sz w:val="18"/>
          <w:szCs w:val="18"/>
        </w:rPr>
        <w:t>2.</w:t>
      </w:r>
      <w:r w:rsidRPr="00B6066A">
        <w:rPr>
          <w:rFonts w:asciiTheme="minorHAnsi" w:hAnsiTheme="minorHAnsi" w:cstheme="minorHAnsi"/>
          <w:bCs/>
          <w:sz w:val="18"/>
          <w:szCs w:val="18"/>
        </w:rPr>
        <w:t xml:space="preserve"> Encaminhar esta Deliberação para a ciência </w:t>
      </w:r>
      <w:r w:rsidR="009F6F0F" w:rsidRPr="00B6066A">
        <w:rPr>
          <w:rFonts w:asciiTheme="minorHAnsi" w:hAnsiTheme="minorHAnsi" w:cstheme="minorHAnsi"/>
          <w:bCs/>
          <w:sz w:val="18"/>
          <w:szCs w:val="18"/>
        </w:rPr>
        <w:t xml:space="preserve">à Presidência, sobre a matéria com posterior publicação no sítio eletrônico do CAU/PR; </w:t>
      </w:r>
    </w:p>
    <w:p w:rsidR="00A01380" w:rsidRPr="00B6066A" w:rsidRDefault="00A01380" w:rsidP="00A01380">
      <w:pPr>
        <w:pStyle w:val="Default"/>
        <w:ind w:left="-567" w:right="-567"/>
        <w:rPr>
          <w:rFonts w:asciiTheme="minorHAnsi" w:hAnsiTheme="minorHAnsi" w:cstheme="minorHAnsi"/>
          <w:sz w:val="18"/>
          <w:szCs w:val="18"/>
        </w:rPr>
      </w:pPr>
    </w:p>
    <w:p w:rsidR="006C01BF" w:rsidRPr="00B6066A" w:rsidRDefault="00A01380" w:rsidP="00A01380">
      <w:pPr>
        <w:spacing w:after="0"/>
        <w:ind w:left="-567" w:right="-567"/>
        <w:rPr>
          <w:rFonts w:cstheme="minorHAnsi"/>
          <w:sz w:val="18"/>
          <w:szCs w:val="18"/>
        </w:rPr>
      </w:pPr>
      <w:r w:rsidRPr="00B6066A">
        <w:rPr>
          <w:rFonts w:cstheme="minorHAnsi"/>
          <w:sz w:val="18"/>
          <w:szCs w:val="18"/>
        </w:rPr>
        <w:t xml:space="preserve">Curitiba (PR), </w:t>
      </w:r>
      <w:r w:rsidR="00B6066A" w:rsidRPr="00B6066A">
        <w:rPr>
          <w:rFonts w:cstheme="minorHAnsi"/>
          <w:sz w:val="18"/>
          <w:szCs w:val="18"/>
        </w:rPr>
        <w:t>27</w:t>
      </w:r>
      <w:r w:rsidR="009F6F0F" w:rsidRPr="00B6066A">
        <w:rPr>
          <w:rFonts w:cstheme="minorHAnsi"/>
          <w:sz w:val="18"/>
          <w:szCs w:val="18"/>
        </w:rPr>
        <w:t xml:space="preserve"> de julho de 2021</w:t>
      </w:r>
    </w:p>
    <w:p w:rsidR="0084723B" w:rsidRPr="00B6066A" w:rsidRDefault="0084723B" w:rsidP="00A01380">
      <w:pPr>
        <w:spacing w:after="0"/>
        <w:ind w:left="-567" w:right="-567"/>
        <w:rPr>
          <w:rFonts w:cstheme="minorHAnsi"/>
          <w:sz w:val="18"/>
          <w:szCs w:val="18"/>
        </w:rPr>
      </w:pP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>OIGRES CORDEIRO DE MACEDO</w:t>
      </w:r>
    </w:p>
    <w:p w:rsidR="0084723B" w:rsidRPr="001C33DF" w:rsidRDefault="00915D3C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>Conselheiro-Suplente</w:t>
      </w: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 xml:space="preserve">PAULA VACCARI TOPPEL </w:t>
      </w: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>Conselheiro-Suplente</w:t>
      </w: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>JEANCARLO VERSETTI</w:t>
      </w:r>
    </w:p>
    <w:p w:rsidR="0084723B" w:rsidRPr="001C33DF" w:rsidRDefault="0084723B" w:rsidP="00A01380">
      <w:pPr>
        <w:spacing w:after="0"/>
        <w:ind w:left="-567" w:right="-567"/>
        <w:rPr>
          <w:rFonts w:cstheme="minorHAnsi"/>
          <w:sz w:val="16"/>
          <w:szCs w:val="16"/>
        </w:rPr>
      </w:pPr>
      <w:r w:rsidRPr="001C33DF">
        <w:rPr>
          <w:rFonts w:cstheme="minorHAnsi"/>
          <w:sz w:val="16"/>
          <w:szCs w:val="16"/>
        </w:rPr>
        <w:t xml:space="preserve">Conselheiro-Titular </w:t>
      </w:r>
    </w:p>
    <w:tbl>
      <w:tblPr>
        <w:tblW w:w="10007" w:type="dxa"/>
        <w:jc w:val="center"/>
        <w:tblLayout w:type="fixed"/>
        <w:tblLook w:val="04A0" w:firstRow="1" w:lastRow="0" w:firstColumn="1" w:lastColumn="0" w:noHBand="0" w:noVBand="1"/>
      </w:tblPr>
      <w:tblGrid>
        <w:gridCol w:w="1824"/>
        <w:gridCol w:w="19"/>
        <w:gridCol w:w="526"/>
        <w:gridCol w:w="545"/>
        <w:gridCol w:w="1622"/>
        <w:gridCol w:w="1418"/>
        <w:gridCol w:w="1319"/>
        <w:gridCol w:w="1275"/>
        <w:gridCol w:w="1459"/>
      </w:tblGrid>
      <w:tr w:rsidR="001C33DF" w:rsidTr="001C33DF">
        <w:trPr>
          <w:trHeight w:val="204"/>
          <w:jc w:val="center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RO 07/2021 CPFI-CAU/PR – 27/07/2021 </w:t>
            </w:r>
          </w:p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                       Videoconferência</w:t>
            </w:r>
          </w:p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C33DF" w:rsidTr="001C33DF">
        <w:trPr>
          <w:trHeight w:val="88"/>
          <w:jc w:val="center"/>
        </w:trPr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                        Folha de Votação</w:t>
            </w:r>
          </w:p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1C33DF" w:rsidTr="001C33DF">
        <w:trPr>
          <w:trHeight w:val="2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Função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Conselheiros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Abstenção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Ausência</w:t>
            </w:r>
          </w:p>
        </w:tc>
      </w:tr>
      <w:tr w:rsidR="001C33DF" w:rsidTr="001C33DF">
        <w:trPr>
          <w:trHeight w:val="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Conselheiro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Oigres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Cordeiro Macedo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1C33DF" w:rsidTr="001C33DF">
        <w:trPr>
          <w:trHeight w:val="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Conselheiro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Paula Vaccari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Toppel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 w:rsidP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 w:rsidP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tabs>
                <w:tab w:val="center" w:pos="62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</w:p>
        </w:tc>
      </w:tr>
      <w:tr w:rsidR="001C33DF" w:rsidTr="001C33DF">
        <w:trPr>
          <w:trHeight w:val="90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Conselheiro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Jeancarlo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Versetti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 w:rsidP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 w:rsidP="001C3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DF" w:rsidRDefault="001C33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</w:tbl>
    <w:p w:rsidR="001C33DF" w:rsidRDefault="001C33DF" w:rsidP="001C33DF">
      <w:pPr>
        <w:autoSpaceDE w:val="0"/>
        <w:autoSpaceDN w:val="0"/>
        <w:adjustRightInd w:val="0"/>
        <w:spacing w:after="0" w:line="276" w:lineRule="auto"/>
        <w:ind w:left="-284" w:right="-284" w:hanging="11"/>
        <w:contextualSpacing/>
        <w:rPr>
          <w:rFonts w:ascii="Calibri" w:eastAsia="Arial" w:hAnsi="Calibri" w:cs="Calibri"/>
          <w:bCs/>
          <w:color w:val="000000"/>
        </w:rPr>
      </w:pPr>
    </w:p>
    <w:p w:rsidR="001C33DF" w:rsidRDefault="001C33DF" w:rsidP="001C33DF">
      <w:pPr>
        <w:autoSpaceDE w:val="0"/>
        <w:autoSpaceDN w:val="0"/>
        <w:adjustRightInd w:val="0"/>
        <w:spacing w:after="0" w:line="276" w:lineRule="auto"/>
        <w:ind w:left="-284" w:right="-284" w:hanging="11"/>
        <w:contextualSpacing/>
        <w:rPr>
          <w:rFonts w:ascii="Calibri" w:hAnsi="Calibri" w:cs="Calibri"/>
          <w:bCs/>
        </w:rPr>
      </w:pP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cstheme="minorHAnsi"/>
        </w:rPr>
      </w:pPr>
      <w:r w:rsidRPr="001C33DF">
        <w:rPr>
          <w:rFonts w:cstheme="minorHAnsi"/>
        </w:rPr>
        <w:t xml:space="preserve">Histórico da votação:  RO 07/2021 CPFI-CAU/PR  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cstheme="minorHAnsi"/>
        </w:rPr>
      </w:pPr>
      <w:r>
        <w:rPr>
          <w:rFonts w:cstheme="minorHAnsi"/>
        </w:rPr>
        <w:t>Data: 27</w:t>
      </w:r>
      <w:r w:rsidRPr="001C33DF">
        <w:rPr>
          <w:rFonts w:cstheme="minorHAnsi"/>
        </w:rPr>
        <w:t xml:space="preserve">/07/2021 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both"/>
        <w:rPr>
          <w:rFonts w:cstheme="minorHAnsi"/>
        </w:rPr>
      </w:pPr>
      <w:r w:rsidRPr="001C33DF">
        <w:rPr>
          <w:rFonts w:cstheme="minorHAnsi"/>
        </w:rPr>
        <w:t xml:space="preserve">Matéria em votação: APROVAÇÃO DAS GRATIFICAÇÕES AOS ASSISTENTES DAS COMISSÕES ORDINÁRIAS E LICITAÇÃO (CPL) com a respectiva apresentação dos estudos financeiros e orçamentários em Plenária, considerando o seguinte quantitativo de membros e valores sem prejuízo ao CAU/PR:  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both"/>
        <w:rPr>
          <w:rFonts w:cstheme="minorHAnsi"/>
          <w:sz w:val="18"/>
          <w:szCs w:val="18"/>
        </w:rPr>
      </w:pPr>
      <w:r w:rsidRPr="001C33DF">
        <w:rPr>
          <w:rFonts w:cstheme="minorHAnsi"/>
          <w:sz w:val="18"/>
          <w:szCs w:val="18"/>
        </w:rPr>
        <w:t xml:space="preserve">a) Presidente Comissão Permanente de Licitação e Pregoeiro (02 colaboradores): gratificação de R$ 700,00 (setecentos reais) 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both"/>
        <w:rPr>
          <w:rFonts w:cstheme="minorHAnsi"/>
          <w:sz w:val="18"/>
          <w:szCs w:val="18"/>
        </w:rPr>
      </w:pPr>
      <w:r w:rsidRPr="001C33DF">
        <w:rPr>
          <w:rFonts w:cstheme="minorHAnsi"/>
          <w:sz w:val="18"/>
          <w:szCs w:val="18"/>
        </w:rPr>
        <w:t xml:space="preserve">b) Membros da Comissão Permanente de Licitação – CPL (03 colaboradores): gratificação de R$ 500,00 (quinhentos reais); 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jc w:val="both"/>
        <w:rPr>
          <w:rFonts w:cstheme="minorHAnsi"/>
          <w:sz w:val="18"/>
          <w:szCs w:val="18"/>
        </w:rPr>
      </w:pPr>
      <w:r w:rsidRPr="001C33DF">
        <w:rPr>
          <w:rFonts w:cstheme="minorHAnsi"/>
          <w:sz w:val="18"/>
          <w:szCs w:val="18"/>
        </w:rPr>
        <w:t>c) Assistentes de Comissões permanentes no âmbito do CAU/PR (05 colaboradores): gratificação de R$ R$ 500,00 (quinhentos reais)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cstheme="minorHAnsi"/>
        </w:rPr>
      </w:pPr>
      <w:r w:rsidRPr="001C33DF">
        <w:rPr>
          <w:rFonts w:cstheme="minorHAnsi"/>
        </w:rPr>
        <w:t>Resultado da votação: Sim (02)</w:t>
      </w:r>
      <w:r>
        <w:rPr>
          <w:rFonts w:cstheme="minorHAnsi"/>
        </w:rPr>
        <w:t>, Não (01</w:t>
      </w:r>
      <w:r w:rsidRPr="001C33DF">
        <w:rPr>
          <w:rFonts w:cstheme="minorHAnsi"/>
        </w:rPr>
        <w:t xml:space="preserve">), Abstenções </w:t>
      </w:r>
      <w:r>
        <w:rPr>
          <w:rFonts w:cstheme="minorHAnsi"/>
        </w:rPr>
        <w:t>(0), Ausências (0) - Total de 03 (três</w:t>
      </w:r>
      <w:r w:rsidRPr="001C33DF">
        <w:rPr>
          <w:rFonts w:cstheme="minorHAnsi"/>
        </w:rPr>
        <w:t>) Conselheiros Ocorrências: Nenhuma.</w:t>
      </w:r>
    </w:p>
    <w:p w:rsidR="001C33DF" w:rsidRPr="001C33DF" w:rsidRDefault="001C33DF" w:rsidP="001C33D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/>
        <w:ind w:left="-567" w:right="-567"/>
        <w:rPr>
          <w:rFonts w:cstheme="minorHAnsi"/>
        </w:rPr>
      </w:pPr>
      <w:r w:rsidRPr="001C33DF">
        <w:rPr>
          <w:rFonts w:cstheme="minorHAnsi"/>
        </w:rPr>
        <w:t xml:space="preserve">Assistentes: </w:t>
      </w:r>
      <w:proofErr w:type="spellStart"/>
      <w:r w:rsidRPr="001C33DF">
        <w:rPr>
          <w:rFonts w:cstheme="minorHAnsi"/>
        </w:rPr>
        <w:t>Patricia</w:t>
      </w:r>
      <w:proofErr w:type="spellEnd"/>
      <w:r w:rsidRPr="001C33DF">
        <w:rPr>
          <w:rFonts w:cstheme="minorHAnsi"/>
        </w:rPr>
        <w:t xml:space="preserve"> Ostroski Maia | Condução dos Trabalhos: Conselheiro </w:t>
      </w:r>
      <w:proofErr w:type="spellStart"/>
      <w:r w:rsidRPr="001C33DF">
        <w:rPr>
          <w:rFonts w:cstheme="minorHAnsi"/>
        </w:rPr>
        <w:t>Oigres</w:t>
      </w:r>
      <w:proofErr w:type="spellEnd"/>
      <w:r w:rsidRPr="001C33DF">
        <w:rPr>
          <w:rFonts w:cstheme="minorHAnsi"/>
        </w:rPr>
        <w:t xml:space="preserve"> Cordeiro Macedo</w:t>
      </w:r>
    </w:p>
    <w:sectPr w:rsidR="001C33DF" w:rsidRPr="001C33DF" w:rsidSect="00BB7AE8">
      <w:headerReference w:type="default" r:id="rId6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D0" w:rsidRDefault="007E5BD0" w:rsidP="00A01380">
      <w:pPr>
        <w:spacing w:after="0" w:line="240" w:lineRule="auto"/>
      </w:pPr>
      <w:r>
        <w:separator/>
      </w:r>
    </w:p>
  </w:endnote>
  <w:endnote w:type="continuationSeparator" w:id="0">
    <w:p w:rsidR="007E5BD0" w:rsidRDefault="007E5BD0" w:rsidP="00A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D0" w:rsidRDefault="007E5BD0" w:rsidP="00A01380">
      <w:pPr>
        <w:spacing w:after="0" w:line="240" w:lineRule="auto"/>
      </w:pPr>
      <w:r>
        <w:separator/>
      </w:r>
    </w:p>
  </w:footnote>
  <w:footnote w:type="continuationSeparator" w:id="0">
    <w:p w:rsidR="007E5BD0" w:rsidRDefault="007E5BD0" w:rsidP="00A0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80" w:rsidRDefault="00A013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9FF1B9" wp14:editId="6C091D45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5547889" cy="5413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889" cy="5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80"/>
    <w:rsid w:val="001C33DF"/>
    <w:rsid w:val="001D308B"/>
    <w:rsid w:val="003D0055"/>
    <w:rsid w:val="0067436E"/>
    <w:rsid w:val="006C01BF"/>
    <w:rsid w:val="007E5BD0"/>
    <w:rsid w:val="00827725"/>
    <w:rsid w:val="0084723B"/>
    <w:rsid w:val="00850CB7"/>
    <w:rsid w:val="00915D3C"/>
    <w:rsid w:val="009A4E96"/>
    <w:rsid w:val="009F6F0F"/>
    <w:rsid w:val="00A01380"/>
    <w:rsid w:val="00AD46EC"/>
    <w:rsid w:val="00B6066A"/>
    <w:rsid w:val="00B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E16880A-F467-4F80-A941-5A5F3030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1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0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380"/>
  </w:style>
  <w:style w:type="paragraph" w:styleId="Rodap">
    <w:name w:val="footer"/>
    <w:basedOn w:val="Normal"/>
    <w:link w:val="RodapChar"/>
    <w:uiPriority w:val="99"/>
    <w:unhideWhenUsed/>
    <w:rsid w:val="00A0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380"/>
  </w:style>
  <w:style w:type="paragraph" w:customStyle="1" w:styleId="TableParagraph">
    <w:name w:val="Table Paragraph"/>
    <w:basedOn w:val="Normal"/>
    <w:uiPriority w:val="1"/>
    <w:qFormat/>
    <w:rsid w:val="00A01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9A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2021-07-26T18:40:00Z</dcterms:created>
  <dcterms:modified xsi:type="dcterms:W3CDTF">2021-08-11T19:17:00Z</dcterms:modified>
</cp:coreProperties>
</file>