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PORTARIA N° 3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>39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>NOVEMBRO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 2021</w:t>
      </w:r>
    </w:p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left="4479" w:right="0" w:hanging="17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Dispõe sobre a designação de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Públicos para condução de processos licitatórios e de contratação direta no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CAU/PR à luz da Lei Federal nº 14.133/2021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, e dá outras providências.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left="4248" w:right="0" w:hanging="17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 Presidente do Conselho de Arquitetura e Urbanismo do Paraná - CAU/PR, no uso das atribuições que lhe conferem o inciso II do artigo 34 e inciso III e do artigo 35 da Lei n° 12.378, de 31 de dezembro de 2010, considerando as competências previstas no Regimento Geral;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Considerando o exercício das competências previstas nos incisos I e LIII, do artigo 158 do Regimento Interno do CAU/PR; e</w:t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Considerando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a edição da Lei Federal nº 14.133/2021, que dispõe sobre as licitações e contratos.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RESOLVE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: </w:t>
      </w:r>
    </w:p>
    <w:p>
      <w:pPr>
        <w:pStyle w:val="Normal"/>
        <w:spacing w:lineRule="atLeast" w:line="360" w:before="120" w:after="12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Art. 1º. Ficam designados em cumprimento ao disposto no Art. 7º, da Lei Federal nº 14.133, de 1º de Abril de 2021 os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públicos responsáveis pela condução de processos de licitação e contratação direta no âmbito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do CAU/PR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, conforme indicado na presente Portaria. </w:t>
      </w:r>
    </w:p>
    <w:p>
      <w:pPr>
        <w:pStyle w:val="Normal"/>
        <w:spacing w:lineRule="atLeast" w:line="360" w:before="120" w:after="12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§ 1º. Os processos licitatórios serão conduzidos de acordo com a nova legislação, pelos seguintes agentes públicos: </w:t>
      </w:r>
    </w:p>
    <w:p>
      <w:pPr>
        <w:pStyle w:val="Normal"/>
        <w:spacing w:lineRule="atLeast" w:line="360" w:before="120" w:after="12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I. AGENTE DE CONTRATAÇÃO: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ALEX SANDRO MORAIS MONTEIRO</w:t>
      </w:r>
    </w:p>
    <w:p>
      <w:pPr>
        <w:pStyle w:val="Normal"/>
        <w:spacing w:lineRule="atLeast" w:line="360" w:before="120" w:after="12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II. EQUIPE DE APOIO: a) ALESSANDRO BONCOMPAGNI JUNIOR, b) ANDRÉ FELIPE CASAGRANDE, c) LEANDRO REGUELIN e d) MARCOS VINICIUS RISSATTO RAMOS.</w:t>
      </w:r>
    </w:p>
    <w:p>
      <w:pPr>
        <w:pStyle w:val="Normal"/>
        <w:spacing w:lineRule="atLeast" w:line="360" w:before="120" w:after="12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§ 2º. Nos processos de contratação direta, abrangendo as dispensas e inexigibilidades de licitação, os agentes públicos indicados nos incisos do § 1º deste artigo constituirão, sob a presidência do primeiro, Comissão de Contratação encarregada da condução de todas as suas fases. </w:t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Art. 2º. O Agente de Contratação e a Comissão de Contratação poderão contar com o apoio dos órgãos de assessoramento jurídico e de controle interno para o desempenho das funções essenciais à execução do disposto na Lei Federal nº 14.133/2021. </w:t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Parágrafo Único. As disposições desta Portaria se aplicam aos processos licitatórios e de contratação direta amparados pela Lei Federal nº 14.133/2021, de 01/04/2021.</w:t>
      </w:r>
    </w:p>
    <w:p>
      <w:pPr>
        <w:pStyle w:val="Normal"/>
        <w:spacing w:lineRule="atLeast" w:line="360" w:before="120" w:after="12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Art. 3º. Esta Portaria entra em vigor nesta data, revogadas as disposições em contrário. Registre-se, Publique-se e Cumpra-se.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Curitiba – Pr,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12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de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val="pt-BR" w:eastAsia="pt-BR" w:bidi="ar-SA"/>
        </w:rPr>
        <w:t>Novembro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de 2021.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Arq. Milton Carlos Zanelatto Gonçalves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sz w:val="20"/>
        <w:szCs w:val="22"/>
        <w:lang w:val="pt-BR" w:bidi="ar-SA"/>
      </w:rPr>
      <w:t>339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12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NOVEMBRO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86" y="0"/>
              <wp:lineTo x="1778" y="1474"/>
              <wp:lineTo x="1476" y="7547"/>
              <wp:lineTo x="1578" y="13644"/>
              <wp:lineTo x="-66" y="14517"/>
              <wp:lineTo x="-66" y="16238"/>
              <wp:lineTo x="2187" y="20590"/>
              <wp:lineTo x="3100" y="20590"/>
              <wp:lineTo x="21601" y="16238"/>
              <wp:lineTo x="21601" y="14517"/>
              <wp:lineTo x="10831" y="13644"/>
              <wp:lineTo x="21485" y="11038"/>
              <wp:lineTo x="21385" y="3220"/>
              <wp:lineTo x="2997" y="0"/>
              <wp:lineTo x="2286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LibreOffice/7.1.3.2$Windows_X86_64 LibreOffice_project/47f78053abe362b9384784d31a6e56f8511eb1c1</Application>
  <AppVersion>15.0000</AppVersion>
  <Pages>2</Pages>
  <Words>363</Words>
  <Characters>1920</Characters>
  <CharactersWithSpaces>2280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2021-11-17T17:05:49Z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