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pacing w:lineRule="auto" w:line="360"/>
        <w:jc w:val="center"/>
        <w:rPr/>
      </w:pPr>
      <w:r>
        <w:rPr>
          <w:rStyle w:val="Nenhum"/>
          <w:rFonts w:ascii="Times New Roman" w:hAnsi="Times New Roman"/>
          <w:b/>
          <w:bCs/>
          <w:sz w:val="24"/>
          <w:szCs w:val="24"/>
        </w:rPr>
        <w:t xml:space="preserve">PORTARIA Nº </w:t>
      </w:r>
      <w:r>
        <w:rPr>
          <w:rStyle w:val="Nenhum"/>
          <w:rFonts w:eastAsia="Calibri" w:cs="Calibri" w:ascii="Times New Roman" w:hAnsi="Times New Roman"/>
          <w:b/>
          <w:bCs/>
          <w:color w:val="000000"/>
          <w:kern w:val="2"/>
          <w:sz w:val="24"/>
          <w:szCs w:val="24"/>
          <w:u w:val="none"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345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es-ES_tradnl"/>
        </w:rPr>
        <w:t xml:space="preserve">, DE </w:t>
      </w:r>
      <w:r>
        <w:rPr>
          <w:rStyle w:val="Nenhum"/>
          <w:rFonts w:eastAsia="Calibri" w:cs="Calibri" w:ascii="Times New Roman" w:hAnsi="Times New Roman"/>
          <w:b/>
          <w:bCs/>
          <w:color w:val="000000"/>
          <w:kern w:val="2"/>
          <w:sz w:val="24"/>
          <w:szCs w:val="24"/>
          <w:u w:val="none"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es-ES_tradnl"/>
        </w:rPr>
        <w:t xml:space="preserve"> DE </w:t>
      </w:r>
      <w:r>
        <w:rPr>
          <w:rStyle w:val="Nenhum"/>
          <w:rFonts w:ascii="Times New Roman" w:hAnsi="Times New Roman"/>
          <w:b/>
          <w:bCs/>
          <w:kern w:val="2"/>
          <w:sz w:val="24"/>
          <w:szCs w:val="24"/>
        </w:rPr>
        <w:t>DEZEM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BRO DE 2021</w:t>
      </w:r>
    </w:p>
    <w:p>
      <w:pPr>
        <w:pStyle w:val="Default"/>
        <w:tabs>
          <w:tab w:val="clear" w:pos="708"/>
          <w:tab w:val="left" w:pos="3945" w:leader="none"/>
        </w:tabs>
        <w:spacing w:lineRule="auto" w:line="360"/>
        <w:ind w:left="3855" w:firstLine="15"/>
        <w:jc w:val="both"/>
        <w:rPr>
          <w:rFonts w:ascii="Times New Roman" w:hAnsi="Times New Roman" w:eastAsia="Garamond" w:cs="Garamond"/>
          <w:b/>
          <w:b/>
          <w:bCs/>
          <w:sz w:val="24"/>
          <w:szCs w:val="24"/>
        </w:rPr>
      </w:pPr>
      <w:r>
        <w:rPr>
          <w:rFonts w:eastAsia="Garamond" w:cs="Garamond" w:ascii="Times New Roman" w:hAnsi="Times New Roman"/>
          <w:b/>
          <w:bCs/>
          <w:sz w:val="24"/>
          <w:szCs w:val="24"/>
        </w:rPr>
      </w:r>
    </w:p>
    <w:p>
      <w:pPr>
        <w:pStyle w:val="Corpo"/>
        <w:spacing w:lineRule="auto" w:line="360"/>
        <w:ind w:left="4956" w:hanging="0"/>
        <w:jc w:val="both"/>
        <w:rPr/>
      </w:pPr>
      <w:r>
        <w:rPr>
          <w:rStyle w:val="Nenhum"/>
          <w:rFonts w:ascii="Times New Roman" w:hAnsi="Times New Roman"/>
          <w:b w:val="false"/>
          <w:bCs w:val="false"/>
          <w:sz w:val="24"/>
          <w:szCs w:val="24"/>
        </w:rPr>
        <w:t>Conceder férias coletivas a todos os setores do CAU/PR, na unidade de Curitiba e escritórios regionais Londrina, Maringá, Cascavel, Pato Branco</w:t>
      </w:r>
      <w:r>
        <w:rPr>
          <w:rStyle w:val="Nenhum"/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 e d</w:t>
      </w:r>
      <w:r>
        <w:rPr>
          <w:rStyle w:val="Nenhum"/>
          <w:rFonts w:ascii="Times New Roman" w:hAnsi="Times New Roman"/>
          <w:b w:val="false"/>
          <w:bCs w:val="false"/>
          <w:sz w:val="24"/>
          <w:szCs w:val="24"/>
        </w:rPr>
        <w:t>á outras providências.</w:t>
      </w:r>
    </w:p>
    <w:p>
      <w:pPr>
        <w:pStyle w:val="Default"/>
        <w:tabs>
          <w:tab w:val="clear" w:pos="708"/>
          <w:tab w:val="left" w:pos="3945" w:leader="none"/>
        </w:tabs>
        <w:spacing w:lineRule="auto" w:line="360"/>
        <w:ind w:left="3855" w:firstLine="15"/>
        <w:jc w:val="both"/>
        <w:rPr>
          <w:rFonts w:ascii="Times New Roman" w:hAnsi="Times New Roman" w:eastAsia="Garamond" w:cs="Garamond"/>
          <w:b/>
          <w:b/>
          <w:bCs/>
          <w:kern w:val="0"/>
          <w:sz w:val="24"/>
          <w:szCs w:val="24"/>
        </w:rPr>
      </w:pPr>
      <w:r>
        <w:rPr>
          <w:rFonts w:eastAsia="Garamond" w:cs="Garamond" w:ascii="Times New Roman" w:hAnsi="Times New Roman"/>
          <w:b/>
          <w:bCs/>
          <w:kern w:val="0"/>
          <w:sz w:val="24"/>
          <w:szCs w:val="24"/>
        </w:rPr>
      </w:r>
    </w:p>
    <w:p>
      <w:pPr>
        <w:pStyle w:val="Corpo"/>
        <w:spacing w:lineRule="auto" w:line="360"/>
        <w:jc w:val="both"/>
        <w:rPr/>
      </w:pPr>
      <w:r>
        <w:rPr>
          <w:rStyle w:val="Nenhum"/>
          <w:rFonts w:ascii="Times New Roman" w:hAnsi="Times New Roman"/>
          <w:sz w:val="24"/>
          <w:szCs w:val="24"/>
          <w:lang w:val="es-ES_tradnl"/>
        </w:rPr>
        <w:t xml:space="preserve">O Presidente do Conselho de Arquitetura e Urbanismo </w:t>
      </w:r>
      <w:r>
        <w:rPr>
          <w:rStyle w:val="Nenhum"/>
          <w:rFonts w:ascii="Times New Roman" w:hAnsi="Times New Roman"/>
          <w:kern w:val="2"/>
          <w:sz w:val="24"/>
          <w:szCs w:val="24"/>
        </w:rPr>
        <w:t>do Estado do Paraná</w:t>
      </w:r>
      <w:r>
        <w:rPr>
          <w:rStyle w:val="Nenhum"/>
          <w:rFonts w:ascii="Times New Roman" w:hAnsi="Times New Roman"/>
          <w:sz w:val="24"/>
          <w:szCs w:val="24"/>
        </w:rPr>
        <w:t xml:space="preserve"> – CAU/</w:t>
      </w:r>
      <w:r>
        <w:rPr>
          <w:rStyle w:val="Nenhum"/>
          <w:rFonts w:eastAsia="Calibri" w:cs="Calibri" w:ascii="Times New Roman" w:hAnsi="Times New Roman"/>
          <w:color w:val="000000"/>
          <w:kern w:val="0"/>
          <w:sz w:val="24"/>
          <w:szCs w:val="24"/>
          <w:u w:val="none"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Nenhum"/>
          <w:rFonts w:ascii="Times New Roman" w:hAnsi="Times New Roman"/>
          <w:sz w:val="24"/>
          <w:szCs w:val="24"/>
        </w:rPr>
        <w:t>, no uso de suas atribuições legais e institucionais, que lhe confere o art. 35, inciso III da Lei 12.378/2010</w:t>
      </w:r>
      <w:r>
        <w:rPr>
          <w:rStyle w:val="Ncoradanotaderodap"/>
          <w:rFonts w:eastAsia="Garamond" w:cs="Garamond" w:ascii="Times New Roman" w:hAnsi="Times New Roman"/>
          <w:sz w:val="24"/>
          <w:szCs w:val="24"/>
        </w:rPr>
        <w:footnoteReference w:id="2"/>
      </w:r>
      <w:r>
        <w:rPr>
          <w:rStyle w:val="Nenhum"/>
          <w:rFonts w:ascii="Times New Roman" w:hAnsi="Times New Roman"/>
          <w:sz w:val="24"/>
          <w:szCs w:val="24"/>
          <w:lang w:val="it-IT"/>
        </w:rPr>
        <w:t xml:space="preserve">, art. 158, inciso XXXIV e inciso </w:t>
      </w:r>
      <w:r>
        <w:rPr>
          <w:rStyle w:val="Nenhum"/>
          <w:rFonts w:ascii="Times New Roman" w:hAnsi="Times New Roman"/>
          <w:kern w:val="2"/>
          <w:sz w:val="24"/>
          <w:szCs w:val="24"/>
        </w:rPr>
        <w:t>XXXV</w:t>
      </w:r>
      <w:r>
        <w:rPr>
          <w:rStyle w:val="Nenhum"/>
          <w:rFonts w:ascii="Times New Roman" w:hAnsi="Times New Roman"/>
          <w:sz w:val="24"/>
          <w:szCs w:val="24"/>
        </w:rPr>
        <w:t>, bem como, art. 159 do Regimento Interno</w:t>
      </w:r>
      <w:r>
        <w:rPr>
          <w:rStyle w:val="Ncoradanotaderodap"/>
          <w:rFonts w:eastAsia="Garamond" w:cs="Garamond" w:ascii="Times New Roman" w:hAnsi="Times New Roman"/>
          <w:sz w:val="24"/>
          <w:szCs w:val="24"/>
        </w:rPr>
        <w:footnoteReference w:id="3"/>
      </w:r>
      <w:r>
        <w:rPr>
          <w:rStyle w:val="Nenhum"/>
          <w:rFonts w:ascii="Times New Roman" w:hAnsi="Times New Roman"/>
          <w:sz w:val="24"/>
          <w:szCs w:val="24"/>
        </w:rPr>
        <w:t>; e</w:t>
      </w:r>
    </w:p>
    <w:p>
      <w:pPr>
        <w:pStyle w:val="Corpo"/>
        <w:spacing w:lineRule="auto" w:line="360"/>
        <w:jc w:val="both"/>
        <w:rPr/>
      </w:pPr>
      <w:r>
        <w:rPr>
          <w:rStyle w:val="Nenhum"/>
          <w:rFonts w:ascii="Times New Roman" w:hAnsi="Times New Roman"/>
          <w:sz w:val="24"/>
          <w:szCs w:val="24"/>
        </w:rPr>
        <w:t>Considerando a função do CAU/PR de regulamentar seus procedimentos internos no que tange ao gozo do direito de férias pelos empregados, respeitando as garantias constitucionais e legais;</w:t>
      </w:r>
    </w:p>
    <w:p>
      <w:pPr>
        <w:pStyle w:val="Corpo"/>
        <w:spacing w:lineRule="auto" w:line="360"/>
        <w:jc w:val="both"/>
        <w:rPr/>
      </w:pPr>
      <w:r>
        <w:rPr>
          <w:rStyle w:val="Nenhum"/>
          <w:rFonts w:ascii="Times New Roman" w:hAnsi="Times New Roman"/>
          <w:sz w:val="24"/>
          <w:szCs w:val="24"/>
        </w:rPr>
        <w:t xml:space="preserve">Considerando o art. 139, § 2º e §3º 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 xml:space="preserve">da </w:t>
      </w:r>
      <w:r>
        <w:rPr>
          <w:rStyle w:val="Nenhum"/>
          <w:rFonts w:ascii="Times New Roman" w:hAnsi="Times New Roman"/>
          <w:sz w:val="24"/>
          <w:szCs w:val="24"/>
          <w:shd w:fill="FFFFFF" w:val="clear"/>
          <w:lang w:val="it-IT"/>
        </w:rPr>
        <w:t>Consolida</w:t>
      </w:r>
      <w:r>
        <w:rPr>
          <w:rStyle w:val="Nenhum"/>
          <w:rFonts w:ascii="Times New Roman" w:hAnsi="Times New Roman"/>
          <w:sz w:val="24"/>
          <w:szCs w:val="24"/>
          <w:shd w:fill="FFFFFF" w:val="clear"/>
        </w:rPr>
        <w:t>ção das Leis do Trabalho</w:t>
      </w:r>
      <w:r>
        <w:rPr>
          <w:rStyle w:val="Nenhum"/>
          <w:rFonts w:ascii="Times New Roman" w:hAnsi="Times New Roman"/>
          <w:sz w:val="24"/>
          <w:szCs w:val="24"/>
        </w:rPr>
        <w:t>;</w:t>
      </w:r>
    </w:p>
    <w:p>
      <w:pPr>
        <w:pStyle w:val="Corpo"/>
        <w:spacing w:lineRule="auto" w:line="360"/>
        <w:jc w:val="both"/>
        <w:rPr/>
      </w:pPr>
      <w:r>
        <w:rPr>
          <w:rStyle w:val="Nenhum"/>
          <w:rFonts w:ascii="Times New Roman" w:hAnsi="Times New Roman"/>
          <w:sz w:val="24"/>
          <w:szCs w:val="24"/>
        </w:rPr>
        <w:t xml:space="preserve">Considerando que a </w:t>
      </w:r>
      <w:r>
        <w:rPr>
          <w:rStyle w:val="Nenhum"/>
          <w:rFonts w:ascii="Times New Roman" w:hAnsi="Times New Roman"/>
          <w:sz w:val="24"/>
          <w:szCs w:val="24"/>
          <w:shd w:fill="auto" w:val="clear"/>
          <w14:textOutline w14:w="0" w14:cap="flat" w14:cmpd="sng" w14:algn="ctr">
            <w14:noFill/>
            <w14:prstDash w14:val="solid"/>
            <w14:bevel/>
          </w14:textOutline>
        </w:rPr>
        <w:t xml:space="preserve">Superintendência Regional do Trabalho e Emprego do Estado do Paraná </w:t>
      </w:r>
      <w:r>
        <w:rPr>
          <w:rStyle w:val="Nenhum"/>
          <w:rFonts w:ascii="Times New Roman" w:hAnsi="Times New Roman"/>
          <w:sz w:val="24"/>
          <w:szCs w:val="24"/>
        </w:rPr>
        <w:t xml:space="preserve"> e o Sindicato dos Empregados dos Conselhos e Ordens de Fiscalização e Entidades Afins do Exercício Profissional do Estado do Paraná – SINFISC-PR, tiveram ciência das férias coletivas no CAU/PR, em </w:t>
      </w:r>
      <w:r>
        <w:rPr>
          <w:rStyle w:val="Nenhum"/>
          <w:rFonts w:ascii="Times New Roman" w:hAnsi="Times New Roman"/>
          <w:kern w:val="2"/>
          <w:sz w:val="24"/>
          <w:szCs w:val="24"/>
        </w:rPr>
        <w:t>19 de novembro de 2021</w:t>
      </w:r>
      <w:r>
        <w:rPr>
          <w:rStyle w:val="Nenhum"/>
          <w:rFonts w:ascii="Times New Roman" w:hAnsi="Times New Roman"/>
          <w:sz w:val="24"/>
          <w:szCs w:val="24"/>
        </w:rPr>
        <w:t>;</w:t>
      </w:r>
    </w:p>
    <w:p>
      <w:pPr>
        <w:pStyle w:val="Corpo"/>
        <w:spacing w:lineRule="auto" w:line="360"/>
        <w:jc w:val="both"/>
        <w:rPr/>
      </w:pPr>
      <w:r>
        <w:rPr>
          <w:rStyle w:val="Nenhum"/>
          <w:rFonts w:ascii="Times New Roman" w:hAnsi="Times New Roman"/>
          <w:b/>
          <w:bCs/>
          <w:sz w:val="24"/>
          <w:szCs w:val="24"/>
          <w:lang w:val="fr-FR"/>
        </w:rPr>
        <w:t>RESOLVE:</w:t>
      </w:r>
    </w:p>
    <w:p>
      <w:pPr>
        <w:pStyle w:val="Standard"/>
        <w:spacing w:lineRule="auto" w:line="360"/>
        <w:jc w:val="both"/>
        <w:rPr/>
      </w:pPr>
      <w:r>
        <w:rPr>
          <w:rStyle w:val="Nenhum"/>
          <w:sz w:val="24"/>
          <w:szCs w:val="24"/>
        </w:rPr>
        <w:t>Art. 1º Conceder férias coletivas, com início em 20 de dezembro de 2021 e fim dia 03 de janeiro 2022, perfazendo 15 (quinze) dias de férias, aos seguintes setores: Gerência Técnica de Atendimento e Fiscalização; Gerência Jurídica; Gabinete da Presidência; Gerência de Comunicação; Gerência de Planejamento e Gestão Estratégica; Gerência Geral, na unidade de Curitiba e escritórios regionais Londrina, Maringá, Cascavel, Pato Branco.</w:t>
      </w:r>
    </w:p>
    <w:p>
      <w:pPr>
        <w:pStyle w:val="Standard"/>
        <w:spacing w:lineRule="auto" w:line="360"/>
        <w:jc w:val="both"/>
        <w:rPr/>
      </w:pPr>
      <w:r>
        <w:rPr>
          <w:rStyle w:val="Nenhum"/>
          <w:sz w:val="24"/>
          <w:szCs w:val="24"/>
        </w:rPr>
        <w:t>Art 2º Conceder férias coletivas, com início em 27 de dezembro de 2021 e fim dia 10 de janeiro 2022, perfazendo 15 (quinze) dias de férias, aos seguintes setores: Gerência Administrativa e Gerência Contábil e Financeira, na unidade de Curitiba e escritórios regionais Londrina, Maringá, Cascavel, Pato Branco.</w:t>
      </w:r>
    </w:p>
    <w:p>
      <w:pPr>
        <w:pStyle w:val="NormalWeb"/>
        <w:spacing w:lineRule="auto" w:line="360"/>
        <w:jc w:val="both"/>
        <w:rPr/>
      </w:pPr>
      <w:r>
        <w:rPr>
          <w:rStyle w:val="Nenhum"/>
          <w:rFonts w:ascii="Times New Roman" w:hAnsi="Times New Roman"/>
          <w:sz w:val="24"/>
          <w:szCs w:val="24"/>
          <w:shd w:fill="auto" w:val="clear"/>
        </w:rPr>
        <w:t>Art. 3º  O empregado apresentará a Carteira de Trabalho e Previdência Social, assim que for solicitado, para anotação da respectiva férias.</w:t>
      </w:r>
    </w:p>
    <w:p>
      <w:pPr>
        <w:pStyle w:val="Standard"/>
        <w:spacing w:lineRule="auto" w:line="360"/>
        <w:jc w:val="both"/>
        <w:rPr/>
      </w:pPr>
      <w:bookmarkStart w:id="0" w:name="art1352"/>
      <w:bookmarkEnd w:id="0"/>
      <w:r>
        <w:rPr>
          <w:rStyle w:val="Nenhum"/>
          <w:sz w:val="24"/>
          <w:szCs w:val="24"/>
        </w:rPr>
        <w:t>Art. 4º Durante o período de gozo de férias coletivas é proibido qualquer tipo de trabalho referente ao CAU/PR, inclusive o acesso aos e-mails corporativo, Avaya e sistemas como IMPLANTA, SICCAU e demais sistemas que por ventura são utilizados nos setores.</w:t>
      </w:r>
    </w:p>
    <w:p>
      <w:pPr>
        <w:pStyle w:val="Standard"/>
        <w:spacing w:lineRule="auto" w:line="360"/>
        <w:jc w:val="both"/>
        <w:rPr/>
      </w:pPr>
      <w:r>
        <w:rPr>
          <w:rStyle w:val="Nenhum"/>
          <w:sz w:val="24"/>
          <w:szCs w:val="24"/>
        </w:rPr>
        <w:t>§1° Mediante ordem devidamente motivada da autoridade superior do setor em que seja evidenciado o caráter urgente, o acesso será permitido.</w:t>
      </w:r>
    </w:p>
    <w:p>
      <w:pPr>
        <w:pStyle w:val="Standard"/>
        <w:spacing w:lineRule="auto" w:line="360"/>
        <w:jc w:val="both"/>
        <w:rPr/>
      </w:pPr>
      <w:r>
        <w:rPr>
          <w:rStyle w:val="Nenhum"/>
          <w:sz w:val="24"/>
          <w:szCs w:val="24"/>
        </w:rPr>
        <w:t>§2° Salvo a hipótese prevista no §1°, descumprimento do presente artigo será caracterizado como infração disciplinar punível com advertência, sendo assegurado o contraditório e ampla defesa .</w:t>
      </w:r>
    </w:p>
    <w:p>
      <w:pPr>
        <w:pStyle w:val="Standard"/>
        <w:spacing w:lineRule="auto" w:line="360"/>
        <w:jc w:val="both"/>
        <w:rPr/>
      </w:pPr>
      <w:r>
        <w:rPr>
          <w:rStyle w:val="Nenhum"/>
          <w:sz w:val="24"/>
          <w:szCs w:val="24"/>
        </w:rPr>
        <w:t xml:space="preserve">Art. 5º  Esta Portaria entra em vigor na data da sua assinatura, </w:t>
      </w:r>
      <w:r>
        <w:rPr>
          <w:rStyle w:val="Nenhum"/>
          <w:rFonts w:cs="Times New Roman"/>
          <w:b w:val="false"/>
          <w:bCs w:val="false"/>
          <w:color w:val="000000"/>
          <w:sz w:val="24"/>
          <w:szCs w:val="24"/>
          <w:lang w:eastAsia="pt-BR"/>
        </w:rPr>
        <w:t>revogadas as disposi</w:t>
      </w:r>
      <w:r>
        <w:rPr>
          <w:rFonts w:cs="Times New Roman"/>
          <w:b w:val="false"/>
          <w:bCs w:val="false"/>
          <w:color w:val="000000"/>
          <w:lang w:eastAsia="pt-BR"/>
        </w:rPr>
        <w:t xml:space="preserve">ções em contrário. Registre-se, Publique-se e Cumpra-se. </w:t>
      </w:r>
    </w:p>
    <w:p>
      <w:pPr>
        <w:pStyle w:val="Corpo"/>
        <w:tabs>
          <w:tab w:val="clear" w:pos="708"/>
          <w:tab w:val="left" w:pos="3240" w:leader="none"/>
        </w:tabs>
        <w:spacing w:lineRule="auto" w:line="360"/>
        <w:jc w:val="center"/>
        <w:rPr>
          <w:rStyle w:val="Nenhum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"/>
        <w:tabs>
          <w:tab w:val="clear" w:pos="708"/>
          <w:tab w:val="left" w:pos="3240" w:leader="none"/>
        </w:tabs>
        <w:spacing w:lineRule="auto" w:line="360"/>
        <w:jc w:val="center"/>
        <w:rPr/>
      </w:pPr>
      <w:r>
        <w:rPr>
          <w:rStyle w:val="Nenhum"/>
          <w:rFonts w:ascii="Times New Roman" w:hAnsi="Times New Roman"/>
          <w:sz w:val="24"/>
          <w:szCs w:val="24"/>
        </w:rPr>
        <w:t xml:space="preserve">Curitiba, </w:t>
      </w:r>
      <w:r>
        <w:rPr>
          <w:rStyle w:val="Nenhum"/>
          <w:rFonts w:eastAsia="Calibri" w:cs="Calibri" w:ascii="Times New Roman" w:hAnsi="Times New Roman"/>
          <w:color w:val="000000"/>
          <w:kern w:val="2"/>
          <w:sz w:val="24"/>
          <w:szCs w:val="24"/>
          <w:u w:val="none"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Style w:val="Nenhum"/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</w:rPr>
        <w:t>de dezembro de 2021.</w:t>
      </w:r>
    </w:p>
    <w:p>
      <w:pPr>
        <w:pStyle w:val="Corpo"/>
        <w:tabs>
          <w:tab w:val="clear" w:pos="708"/>
          <w:tab w:val="left" w:pos="3240" w:leader="none"/>
        </w:tabs>
        <w:spacing w:lineRule="auto" w:line="360"/>
        <w:jc w:val="center"/>
        <w:rPr>
          <w:rStyle w:val="Nenhum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"/>
        <w:tabs>
          <w:tab w:val="clear" w:pos="708"/>
          <w:tab w:val="left" w:pos="3240" w:leader="none"/>
        </w:tabs>
        <w:spacing w:lineRule="auto" w:line="360"/>
        <w:jc w:val="center"/>
        <w:rPr>
          <w:rStyle w:val="Nenhum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Arq. Milton Carlos Zanelatto Gonçalves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Presidente do CAU/PR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Style w:val="Nenhum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CAU A52736-0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345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10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DEZEMBRO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Corpodotexto"/>
        <w:ind w:left="340" w:firstLine="525"/>
        <w:jc w:val="both"/>
        <w:rPr>
          <w:rStyle w:val="Nenhum"/>
          <w:rFonts w:ascii="Garamond" w:hAnsi="Garamond" w:eastAsia="Garamond" w:cs="Garamond"/>
          <w:sz w:val="18"/>
          <w:szCs w:val="18"/>
        </w:rPr>
      </w:pPr>
      <w:r>
        <w:rPr>
          <w:rStyle w:val="Caracteresdenotaderodap"/>
        </w:rPr>
        <w:footnoteRef/>
      </w:r>
      <w:r>
        <w:rPr>
          <w:rStyle w:val="Nenhum"/>
          <w:rFonts w:ascii="Garamond" w:hAnsi="Garamond"/>
          <w:sz w:val="18"/>
          <w:szCs w:val="18"/>
        </w:rPr>
        <w:t>Art. 35.  Compete ao presidente do CAU, entre outras questões que lhe forem atribuídas pelo Regimento Geral do CAU/BR e pelo Regimento Interno do CAU respectivo:(...)</w:t>
      </w:r>
    </w:p>
    <w:p>
      <w:pPr>
        <w:pStyle w:val="Corpodotexto"/>
        <w:spacing w:before="0" w:after="140"/>
        <w:jc w:val="both"/>
        <w:rPr/>
      </w:pPr>
      <w:r>
        <w:rPr>
          <w:rStyle w:val="Nenhum"/>
          <w:rFonts w:ascii="Garamond" w:hAnsi="Garamond"/>
          <w:sz w:val="18"/>
          <w:szCs w:val="18"/>
        </w:rPr>
        <w:t>III - cuidar das questões administrativas do CAU, ouvindo previamente o Conselho quando exigido pelo Regimento Geral do CAU/BR ou pelo Regimento Interno do CAU respectivo.</w:t>
      </w:r>
    </w:p>
  </w:footnote>
  <w:footnote w:id="3">
    <w:p>
      <w:pPr>
        <w:pStyle w:val="Notaderodap"/>
        <w:rPr>
          <w:rStyle w:val="Nenhum"/>
          <w:rFonts w:ascii="Garamond" w:hAnsi="Garamond" w:eastAsia="Garamond" w:cs="Garamond"/>
          <w:sz w:val="18"/>
          <w:szCs w:val="18"/>
        </w:rPr>
      </w:pPr>
      <w:r>
        <w:rPr>
          <w:rStyle w:val="Caracteresdenotaderodap"/>
        </w:rPr>
        <w:footnoteRef/>
      </w:r>
      <w:r>
        <w:rPr>
          <w:rStyle w:val="Nenhum"/>
          <w:rFonts w:eastAsia="Garamond" w:cs="Garamond" w:ascii="Garamond" w:hAnsi="Garamond"/>
          <w:sz w:val="18"/>
          <w:szCs w:val="18"/>
        </w:rPr>
        <w:tab/>
        <w:t>Art. 158 Compete ao presidente do CAU/PR: (...)</w:t>
      </w:r>
    </w:p>
    <w:p>
      <w:pPr>
        <w:pStyle w:val="Corpo"/>
        <w:spacing w:lineRule="auto" w:line="360"/>
        <w:rPr>
          <w:rStyle w:val="Nenhum"/>
          <w:rFonts w:ascii="Garamond" w:hAnsi="Garamond" w:eastAsia="Garamond" w:cs="Garamond"/>
          <w:sz w:val="18"/>
          <w:szCs w:val="18"/>
        </w:rPr>
      </w:pPr>
      <w:r>
        <w:rPr>
          <w:rStyle w:val="Nenhum"/>
          <w:rFonts w:ascii="Garamond" w:hAnsi="Garamond"/>
          <w:sz w:val="18"/>
          <w:szCs w:val="18"/>
        </w:rPr>
        <w:t xml:space="preserve">XXXIV - propor ao Plenário ou ao Conselho Diretor, a estrutura organizacional e as rotinas administrativas do CAU/PR, ouvida a comissão que exerce as competências de organização e administração;  </w:t>
      </w:r>
    </w:p>
    <w:p>
      <w:pPr>
        <w:pStyle w:val="Corpo"/>
        <w:spacing w:lineRule="auto" w:line="360"/>
        <w:rPr>
          <w:rStyle w:val="Nenhum"/>
          <w:rFonts w:ascii="Garamond" w:hAnsi="Garamond" w:eastAsia="Garamond" w:cs="Garamond"/>
          <w:sz w:val="18"/>
          <w:szCs w:val="18"/>
        </w:rPr>
      </w:pPr>
      <w:r>
        <w:rPr>
          <w:rStyle w:val="Nenhum"/>
          <w:rFonts w:ascii="Garamond" w:hAnsi="Garamond"/>
          <w:sz w:val="18"/>
          <w:szCs w:val="18"/>
        </w:rPr>
        <w:t xml:space="preserve">XXXV - propor ao Conselho Diretor ou ao Plenário atos normativos de gestão de pessoas; </w:t>
      </w:r>
    </w:p>
    <w:p>
      <w:pPr>
        <w:pStyle w:val="Corpo"/>
        <w:spacing w:lineRule="auto" w:line="360" w:before="0" w:after="160"/>
        <w:rPr/>
      </w:pPr>
      <w:r>
        <w:rPr>
          <w:rStyle w:val="Nenhum"/>
          <w:rFonts w:ascii="Garamond" w:hAnsi="Garamond"/>
          <w:sz w:val="18"/>
          <w:szCs w:val="18"/>
        </w:rPr>
        <w:t>Art. 159 O presidente manifesta-se sobre assuntos de sua competência mediante atos  administrativos das espé</w:t>
      </w:r>
      <w:r>
        <w:rPr>
          <w:rStyle w:val="Nenhum"/>
          <w:rFonts w:ascii="Garamond" w:hAnsi="Garamond"/>
          <w:sz w:val="18"/>
          <w:szCs w:val="18"/>
          <w:lang w:val="es-ES_tradnl"/>
        </w:rPr>
        <w:t>cíes despacho, instru</w:t>
      </w:r>
      <w:r>
        <w:rPr>
          <w:rStyle w:val="Nenhum"/>
          <w:rFonts w:ascii="Garamond" w:hAnsi="Garamond"/>
          <w:sz w:val="18"/>
          <w:szCs w:val="18"/>
        </w:rPr>
        <w:t>ção, circular, ato declaratório, portaria e  proposta, a serem publicados no sítio eletrônico do CAU/PR</w:t>
      </w:r>
      <w:r>
        <w:rPr>
          <w:rStyle w:val="Nenhum"/>
          <w:rFonts w:ascii="Arial" w:hAnsi="Arial"/>
          <w:sz w:val="18"/>
          <w:szCs w:val="18"/>
        </w:rPr>
        <w:t>.</w:t>
      </w:r>
      <w:r>
        <w:rPr>
          <w:rStyle w:val="Nenhum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27" y="0"/>
              <wp:lineTo x="1706" y="1081"/>
              <wp:lineTo x="1404" y="7154"/>
              <wp:lineTo x="1507" y="13251"/>
              <wp:lineTo x="-38" y="14124"/>
              <wp:lineTo x="-38" y="15845"/>
              <wp:lineTo x="2115" y="20197"/>
              <wp:lineTo x="3028" y="20197"/>
              <wp:lineTo x="21534" y="15845"/>
              <wp:lineTo x="21534" y="14124"/>
              <wp:lineTo x="10781" y="13251"/>
              <wp:lineTo x="21413" y="10657"/>
              <wp:lineTo x="21322" y="2827"/>
              <wp:lineTo x="2925" y="0"/>
              <wp:lineTo x="2227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Nenhum">
    <w:name w:val="Nenhum"/>
    <w:qFormat/>
    <w:rPr>
      <w:lang w:val="pt-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Corpo">
    <w:name w:val="Corpo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val="pt-PT" w:eastAsia="zh-CN" w:bidi="hi-IN"/>
    </w:rPr>
  </w:style>
  <w:style w:type="paragraph" w:styleId="NormalWeb">
    <w:name w:val="Normal (Web)"/>
    <w:qFormat/>
    <w:pPr>
      <w:widowControl/>
      <w:suppressAutoHyphens w:val="false"/>
      <w:bidi w:val="0"/>
      <w:spacing w:before="100" w:after="1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LibreOffice/7.1.3.2$Windows_X86_64 LibreOffice_project/47f78053abe362b9384784d31a6e56f8511eb1c1</Application>
  <AppVersion>15.0000</AppVersion>
  <Pages>2</Pages>
  <Words>574</Words>
  <Characters>3156</Characters>
  <CharactersWithSpaces>3724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2021-12-10T10:27:44Z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