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CA317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B033690" w:rsidR="001C2DF3" w:rsidRPr="00CA3173" w:rsidRDefault="001C2DF3" w:rsidP="001C2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5EC7C61" w:rsidR="00DF039B" w:rsidRPr="00103A96" w:rsidRDefault="00103A96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03A96">
              <w:rPr>
                <w:rFonts w:ascii="Times New Roman" w:hAnsi="Times New Roman"/>
                <w:iCs/>
                <w:szCs w:val="24"/>
              </w:rPr>
              <w:t>CEP-PR - Comissão de Exercício Profissional do 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CEC158E" w:rsidR="00DF039B" w:rsidRPr="00103A96" w:rsidRDefault="00103A96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103A96">
              <w:rPr>
                <w:rFonts w:ascii="Times New Roman" w:hAnsi="Times New Roman"/>
                <w:szCs w:val="24"/>
              </w:rPr>
              <w:t>Atribuições profissionais e judicialização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08F0092" w:rsidR="00551C1E" w:rsidRPr="000D0D3E" w:rsidRDefault="00551C1E" w:rsidP="00103A9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C90AC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103A9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6F4458C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23A9C3D" w14:textId="77777777" w:rsidR="00103A96" w:rsidRPr="00103A96" w:rsidRDefault="00103A96" w:rsidP="00103A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03A96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 e no parágrafo 4o “Na hipótese de as normas do CAU/BR sobre o campo de atuação de arquitetos e urbanistas contradizerem normas de outro Conselho profissional, a controvérsia será resolvida por meio de resolução conjunta de ambos os conselhos.”</w:t>
      </w:r>
    </w:p>
    <w:p w14:paraId="2D88BAC9" w14:textId="77777777" w:rsidR="00103A96" w:rsidRPr="00103A96" w:rsidRDefault="00103A96" w:rsidP="00103A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03A96">
        <w:rPr>
          <w:rFonts w:ascii="Times New Roman" w:hAnsi="Times New Roman" w:cs="Times New Roman"/>
          <w:szCs w:val="24"/>
        </w:rPr>
        <w:t>Considerando que em 2019 o Superior Tribunal de Justiça, em ação proposta pelo CAU/PR, reconheceu tratar-se a execução de obras de restauro de atribuição privativa dos arquitetos e urbanistas, com base na tese de que já foram definidas de forma conjunta as atividades e os campos de atuação dos profissionais da arquitetura e urbanismo e da engenharia na Resolução Confea nº 1.010, de 22 de agosto de 2005, em seu anexo II.</w:t>
      </w:r>
    </w:p>
    <w:p w14:paraId="717276B3" w14:textId="77777777" w:rsidR="00103A96" w:rsidRPr="00103A96" w:rsidRDefault="00103A96" w:rsidP="00103A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03A96">
        <w:rPr>
          <w:rFonts w:ascii="Times New Roman" w:hAnsi="Times New Roman" w:cs="Times New Roman"/>
          <w:szCs w:val="24"/>
        </w:rPr>
        <w:t>Considerando que recentemente o Crea/PR teve um pedido de liminar deferido no TRF-4 determinando que o CAU se abstenha de notificar e/ou autuar engenheiros e interferir no exercício das profissões reguladas pela Lei nº. 5.194/66.</w:t>
      </w:r>
    </w:p>
    <w:p w14:paraId="4F40AE62" w14:textId="77777777" w:rsidR="00103A96" w:rsidRPr="00103A96" w:rsidRDefault="00103A96" w:rsidP="00103A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03A96">
        <w:rPr>
          <w:rFonts w:ascii="Times New Roman" w:hAnsi="Times New Roman" w:cs="Times New Roman"/>
          <w:szCs w:val="24"/>
        </w:rPr>
        <w:t>Considerando que profissionais tem sido autuados pelo Conselho Regional de Engenharia pelo exercício de atividades compartilhadas entre arquitetos e engenheiros</w:t>
      </w:r>
    </w:p>
    <w:p w14:paraId="7F6EBB17" w14:textId="77777777" w:rsidR="00103A96" w:rsidRDefault="00103A96" w:rsidP="00103A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03A96">
        <w:rPr>
          <w:rFonts w:ascii="Times New Roman" w:hAnsi="Times New Roman" w:cs="Times New Roman"/>
          <w:szCs w:val="24"/>
        </w:rPr>
        <w:t>Considerando a necessidade de defender as atribuições dos profissionais arquitetos e urbanistas.</w:t>
      </w:r>
    </w:p>
    <w:p w14:paraId="22F3B994" w14:textId="77777777" w:rsidR="00103A96" w:rsidRPr="00103A96" w:rsidRDefault="00103A96" w:rsidP="00103A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F57BD93" w14:textId="77777777" w:rsidR="00103A96" w:rsidRPr="00103A96" w:rsidRDefault="00103A96" w:rsidP="00103A96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103A96">
        <w:rPr>
          <w:rFonts w:ascii="Times New Roman" w:hAnsi="Times New Roman"/>
        </w:rPr>
        <w:t>Pela necessidade do Setor Jurídico do CAU/PR ajuizar ações judiciais com base no precedente do Resp nº 1813857/PR, para resguardar as atribuições privativas dos arquitetos e urbanistas.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76B44D63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43C7D6" w14:textId="77777777" w:rsidR="00103A96" w:rsidRDefault="00103A9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P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F0FF80E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BFCD6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901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756A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473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BD3F9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D9C6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A63B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5D51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DD2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B18F4D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D359B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65631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C567F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3857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27F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9D759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B51B6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E896A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E78D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27BB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5E461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B43E3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3BDF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5B7B7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9CF3D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317C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4951E" w14:textId="77777777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D99FF4" w14:textId="40DA1773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03A96">
        <w:rPr>
          <w:rFonts w:ascii="Times New Roman" w:hAnsi="Times New Roman" w:cs="Times New Roman"/>
          <w:sz w:val="20"/>
          <w:szCs w:val="20"/>
        </w:rPr>
        <w:t xml:space="preserve">DELIBERAÇÃO Nº </w:t>
      </w:r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103A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</w:t>
      </w:r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/2021</w:t>
      </w:r>
      <w:r w:rsidRPr="00103A96">
        <w:rPr>
          <w:rFonts w:ascii="Times New Roman" w:hAnsi="Times New Roman" w:cs="Times New Roman"/>
          <w:sz w:val="20"/>
          <w:szCs w:val="20"/>
        </w:rPr>
        <w:t xml:space="preserve"> – CEP-CAU/PR</w:t>
      </w:r>
    </w:p>
    <w:sectPr w:rsidR="00103A96" w:rsidRPr="00103A96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03A9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03A9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3A96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18</cp:revision>
  <cp:lastPrinted>2020-11-05T20:04:00Z</cp:lastPrinted>
  <dcterms:created xsi:type="dcterms:W3CDTF">2020-09-24T16:49:00Z</dcterms:created>
  <dcterms:modified xsi:type="dcterms:W3CDTF">2021-03-18T13:51:00Z</dcterms:modified>
</cp:coreProperties>
</file>