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1392359/2021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Revisão -  Deliberação CEP-CAU/PR 163/2021.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011/2022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21 de fevereiro de 2022, no uso das competências que lhe conferem o Regimento Interno do CAU/PR, após análise do assunto em epígrafe, e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 - CAU/PR.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kern w:val="0"/>
          <w:sz w:val="24"/>
          <w:szCs w:val="24"/>
          <w:lang w:val="pt-BR" w:eastAsia="pt-BR" w:bidi="ar-SA"/>
        </w:rPr>
        <w:t>Ormy Leocádio Hutner Junior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voto do conselheiro relator e arquivar o processo, visto que houve o pagamento da multa vinculado ao auto de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Informar ao fiscalizado a necessidade de regularização da infração com a elaboração de RRT extemporâneo no prazo de 30 dias, sob pena de nova fiscalização;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cópia do processo a CED- CAU/PR;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fevereiro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2ª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"/>
        <w:gridCol w:w="1371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21/02/2022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1392359/2021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</w:t>
            </w:r>
            <w:r>
              <w:rPr>
                <w:rFonts w:eastAsia="Calibri" w:ascii="Times New Roman" w:hAnsi="Times New Roman"/>
                <w:b w:val="false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Arquivar o processo 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 dar novo prazo de 30 dias para a regularização.</w:t>
            </w:r>
            <w:r>
              <w:rPr>
                <w:rFonts w:ascii="Times New Roman" w:hAnsi="Times New Roman"/>
                <w:b w:val="false"/>
                <w:iCs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 </w:t>
            </w:r>
            <w:r>
              <w:rPr>
                <w:rFonts w:eastAsia="Cambria" w:ascii="Times New Roman" w:hAnsi="Times New Roman"/>
                <w:b w:val="false"/>
                <w:bCs w:val="false"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0954369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LibreOffice/7.2.1.2$Windows_X86_64 LibreOffice_project/87b77fad49947c1441b67c559c339af8f3517e22</Application>
  <AppVersion>15.0000</AppVersion>
  <Pages>2</Pages>
  <Words>455</Words>
  <Characters>2525</Characters>
  <CharactersWithSpaces>2934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2022-03-11T14:54:10Z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