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Ttulododocumento"/>
              <w:widowControl w:val="false"/>
              <w:suppressAutoHyphens w:val="true"/>
              <w:spacing w:lineRule="auto" w:line="240" w:before="0" w:after="116"/>
              <w:ind w:left="1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Consulta a COA-CAU/BR sobre Regimentos Internos das Comissões Ordinárias dos CAU/UF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</w:t>
            </w:r>
            <w:r>
              <w:rPr>
                <w:rFonts w:cs="Times New Roman" w:ascii="Times New Roman" w:hAnsi="Times New Roman"/>
                <w:b/>
                <w:bCs/>
                <w:color w:val="auto"/>
                <w:kern w:val="0"/>
                <w:szCs w:val="24"/>
                <w:lang w:val="pt-BR" w:bidi="ar-SA"/>
              </w:rPr>
              <w:t xml:space="preserve"> 019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que o “CAU/BR e os CAUs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parágrafo 1, da Lei n</w:t>
      </w:r>
      <w:r>
        <w:rPr>
          <w:rFonts w:cs="Times New Roman" w:ascii="Times New Roman" w:hAnsi="Times New Roman"/>
          <w:b/>
          <w:bCs/>
          <w:kern w:val="0"/>
          <w:szCs w:val="24"/>
          <w:lang w:val="pt-BR" w:bidi="ar-SA"/>
        </w:rPr>
        <w:t>º</w:t>
      </w:r>
      <w:r>
        <w:rPr>
          <w:rFonts w:cs="Times New Roman" w:ascii="Times New Roman" w:hAnsi="Times New Roman"/>
          <w:szCs w:val="24"/>
        </w:rPr>
        <w:t xml:space="preserve"> 12.378/2010;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a necessidade das comissões primarem pela excelência em sua atuação e a importância das comissões terem uma maior/melhor autonomia na gestão interna;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a possibilidade das comissões terem regimentos para auxiliar o ordenamento dos trabalhos;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Considerando que a COA-CAU/BR é responsável por analisar os regimentos internos dos CAU/UF;  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uma consulta a COA-CAU/BR sobre a possibilidade de;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 As comissões tenham autonomia para criar regimentos próprios, desde que não conflitam com o regimento do próprio CAU/UF;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No caso em que as comissões não tenham esta autonomia, avaliar a possibilidade de uma revisão no regimento desde que validado pela COA-CAU/BR.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No caso em que não seja permitido a criação de regimentos internos, esta regulação deverá constar no próprio regimento interno, nas seções das comissões ordinárias; 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1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8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Colegiados Nacionais relacionados às Comissões Permanentes ou a temas correlatos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484616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LibreOffice/7.2.1.2$Windows_X86_64 LibreOffice_project/87b77fad49947c1441b67c559c339af8f3517e22</Application>
  <AppVersion>15.0000</AppVersion>
  <Pages>2</Pages>
  <Words>558</Words>
  <Characters>3151</Characters>
  <CharactersWithSpaces>3662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2021-06-30T17:16:00Z</cp:lastPrinted>
  <dcterms:modified xsi:type="dcterms:W3CDTF">2022-05-23T13:30:53Z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