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9D15" w14:textId="4784D332" w:rsidR="00D747DB" w:rsidRPr="0065372A" w:rsidRDefault="0088034E" w:rsidP="00747336">
      <w:pPr>
        <w:pStyle w:val="Corpodetexto"/>
        <w:spacing w:before="99"/>
        <w:ind w:left="1630" w:right="1343"/>
        <w:jc w:val="center"/>
        <w:rPr>
          <w:sz w:val="20"/>
          <w:szCs w:val="20"/>
        </w:rPr>
      </w:pPr>
      <w:r w:rsidRPr="0065372A">
        <w:rPr>
          <w:sz w:val="20"/>
          <w:szCs w:val="20"/>
        </w:rPr>
        <w:t>SÚMULA</w:t>
      </w:r>
      <w:r w:rsidR="000B647B" w:rsidRPr="0065372A">
        <w:rPr>
          <w:sz w:val="20"/>
          <w:szCs w:val="20"/>
        </w:rPr>
        <w:t xml:space="preserve"> REUNIÃO </w:t>
      </w:r>
      <w:r w:rsidR="006001C7" w:rsidRPr="0065372A">
        <w:rPr>
          <w:sz w:val="20"/>
          <w:szCs w:val="20"/>
        </w:rPr>
        <w:t>EXTRA</w:t>
      </w:r>
      <w:r w:rsidR="003660E5" w:rsidRPr="0065372A">
        <w:rPr>
          <w:sz w:val="20"/>
          <w:szCs w:val="20"/>
        </w:rPr>
        <w:t>ORDINÁRIA</w:t>
      </w:r>
      <w:r w:rsidR="00760683" w:rsidRPr="0065372A">
        <w:rPr>
          <w:sz w:val="20"/>
          <w:szCs w:val="20"/>
        </w:rPr>
        <w:t xml:space="preserve"> </w:t>
      </w:r>
      <w:r w:rsidR="006001C7" w:rsidRPr="0065372A">
        <w:rPr>
          <w:sz w:val="20"/>
          <w:szCs w:val="20"/>
        </w:rPr>
        <w:t>00</w:t>
      </w:r>
      <w:r w:rsidR="00E95732" w:rsidRPr="0065372A">
        <w:rPr>
          <w:sz w:val="20"/>
          <w:szCs w:val="20"/>
        </w:rPr>
        <w:t>2</w:t>
      </w:r>
      <w:r w:rsidRPr="0065372A">
        <w:rPr>
          <w:sz w:val="20"/>
          <w:szCs w:val="20"/>
        </w:rPr>
        <w:t>/202</w:t>
      </w:r>
      <w:r w:rsidR="006001C7" w:rsidRPr="0065372A">
        <w:rPr>
          <w:sz w:val="20"/>
          <w:szCs w:val="20"/>
        </w:rPr>
        <w:t>2</w:t>
      </w:r>
      <w:r w:rsidR="00760683" w:rsidRPr="0065372A">
        <w:rPr>
          <w:sz w:val="20"/>
          <w:szCs w:val="20"/>
        </w:rPr>
        <w:t xml:space="preserve"> </w:t>
      </w:r>
      <w:r w:rsidR="003660E5" w:rsidRPr="0065372A">
        <w:rPr>
          <w:sz w:val="20"/>
          <w:szCs w:val="20"/>
        </w:rPr>
        <w:t>CPFI</w:t>
      </w:r>
      <w:r w:rsidR="002D2BC2" w:rsidRPr="0065372A">
        <w:rPr>
          <w:sz w:val="20"/>
          <w:szCs w:val="20"/>
        </w:rPr>
        <w:t>-CAU/</w:t>
      </w:r>
      <w:r w:rsidR="003660E5" w:rsidRPr="0065372A">
        <w:rPr>
          <w:sz w:val="20"/>
          <w:szCs w:val="20"/>
        </w:rPr>
        <w:t>PR</w:t>
      </w:r>
    </w:p>
    <w:p w14:paraId="4DA6FB42" w14:textId="77777777" w:rsidR="00747336" w:rsidRPr="0065372A" w:rsidRDefault="00747336" w:rsidP="00747336">
      <w:pPr>
        <w:pStyle w:val="Corpodetexto"/>
        <w:spacing w:before="99"/>
        <w:ind w:left="1630" w:right="1343"/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134"/>
        <w:gridCol w:w="4101"/>
      </w:tblGrid>
      <w:tr w:rsidR="00C6260F" w:rsidRPr="0065372A" w14:paraId="36C31701" w14:textId="77777777" w:rsidTr="00734520">
        <w:trPr>
          <w:trHeight w:val="313"/>
        </w:trPr>
        <w:tc>
          <w:tcPr>
            <w:tcW w:w="1701" w:type="dxa"/>
            <w:shd w:val="clear" w:color="auto" w:fill="D9D9D9"/>
          </w:tcPr>
          <w:p w14:paraId="6C648FE2" w14:textId="77777777" w:rsidR="00C6260F" w:rsidRPr="0065372A" w:rsidRDefault="002D2BC2" w:rsidP="002E6776">
            <w:pPr>
              <w:pStyle w:val="TableParagraph"/>
              <w:spacing w:line="240" w:lineRule="auto"/>
              <w:ind w:left="85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DATA</w:t>
            </w:r>
            <w:r w:rsidR="006C6A5F" w:rsidRPr="0065372A">
              <w:rPr>
                <w:sz w:val="20"/>
                <w:szCs w:val="20"/>
              </w:rPr>
              <w:t xml:space="preserve"> INÍCIO</w:t>
            </w:r>
          </w:p>
        </w:tc>
        <w:tc>
          <w:tcPr>
            <w:tcW w:w="3686" w:type="dxa"/>
            <w:tcBorders>
              <w:right w:val="single" w:sz="4" w:space="0" w:color="ADA9A9"/>
            </w:tcBorders>
          </w:tcPr>
          <w:p w14:paraId="68F0B1D5" w14:textId="12112C59" w:rsidR="00C6260F" w:rsidRPr="0065372A" w:rsidRDefault="00E95732" w:rsidP="00C5183C">
            <w:pPr>
              <w:pStyle w:val="TableParagraph"/>
              <w:spacing w:before="49" w:line="240" w:lineRule="auto"/>
              <w:ind w:left="81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23 de maio de 2022 (</w:t>
            </w:r>
            <w:r w:rsidR="007F684C" w:rsidRPr="0065372A">
              <w:rPr>
                <w:sz w:val="20"/>
                <w:szCs w:val="20"/>
              </w:rPr>
              <w:t>se</w:t>
            </w:r>
            <w:r w:rsidRPr="0065372A">
              <w:rPr>
                <w:sz w:val="20"/>
                <w:szCs w:val="20"/>
              </w:rPr>
              <w:t>gunda</w:t>
            </w:r>
            <w:r w:rsidR="007F684C" w:rsidRPr="0065372A">
              <w:rPr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65372A" w:rsidRDefault="002D2BC2">
            <w:pPr>
              <w:pStyle w:val="TableParagraph"/>
              <w:spacing w:before="49" w:line="240" w:lineRule="auto"/>
              <w:ind w:left="86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HORÁRIO</w:t>
            </w:r>
          </w:p>
        </w:tc>
        <w:tc>
          <w:tcPr>
            <w:tcW w:w="4101" w:type="dxa"/>
          </w:tcPr>
          <w:p w14:paraId="491E9EE8" w14:textId="178114B2" w:rsidR="00C6260F" w:rsidRPr="0065372A" w:rsidRDefault="006001C7" w:rsidP="008822F1">
            <w:pPr>
              <w:pStyle w:val="TableParagraph"/>
              <w:spacing w:before="49" w:line="240" w:lineRule="auto"/>
              <w:ind w:left="86"/>
              <w:rPr>
                <w:sz w:val="20"/>
                <w:szCs w:val="20"/>
                <w:highlight w:val="yellow"/>
              </w:rPr>
            </w:pPr>
            <w:r w:rsidRPr="0065372A">
              <w:rPr>
                <w:sz w:val="20"/>
                <w:szCs w:val="20"/>
              </w:rPr>
              <w:t>09:</w:t>
            </w:r>
            <w:r w:rsidR="00DE40A6" w:rsidRPr="0065372A">
              <w:rPr>
                <w:sz w:val="20"/>
                <w:szCs w:val="20"/>
              </w:rPr>
              <w:t xml:space="preserve">45 hs </w:t>
            </w:r>
            <w:r w:rsidRPr="0065372A">
              <w:rPr>
                <w:sz w:val="20"/>
                <w:szCs w:val="20"/>
              </w:rPr>
              <w:t xml:space="preserve">ás </w:t>
            </w:r>
            <w:r w:rsidR="00D33DDB">
              <w:rPr>
                <w:sz w:val="20"/>
                <w:szCs w:val="20"/>
              </w:rPr>
              <w:t>1</w:t>
            </w:r>
            <w:r w:rsidR="006206FE">
              <w:rPr>
                <w:sz w:val="20"/>
                <w:szCs w:val="20"/>
              </w:rPr>
              <w:t>3</w:t>
            </w:r>
            <w:r w:rsidR="00D33DDB">
              <w:rPr>
                <w:sz w:val="20"/>
                <w:szCs w:val="20"/>
              </w:rPr>
              <w:t xml:space="preserve"> hs </w:t>
            </w:r>
          </w:p>
        </w:tc>
      </w:tr>
      <w:tr w:rsidR="00C6260F" w:rsidRPr="0065372A" w14:paraId="5BE07B60" w14:textId="77777777" w:rsidTr="00734520">
        <w:trPr>
          <w:trHeight w:val="123"/>
        </w:trPr>
        <w:tc>
          <w:tcPr>
            <w:tcW w:w="1701" w:type="dxa"/>
            <w:shd w:val="clear" w:color="auto" w:fill="D9D9D9"/>
          </w:tcPr>
          <w:p w14:paraId="75564A57" w14:textId="77777777" w:rsidR="00C6260F" w:rsidRPr="0065372A" w:rsidRDefault="002D2BC2" w:rsidP="002E6776">
            <w:pPr>
              <w:pStyle w:val="TableParagraph"/>
              <w:spacing w:line="240" w:lineRule="auto"/>
              <w:ind w:left="85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LOCAL</w:t>
            </w:r>
          </w:p>
        </w:tc>
        <w:tc>
          <w:tcPr>
            <w:tcW w:w="8921" w:type="dxa"/>
            <w:gridSpan w:val="3"/>
          </w:tcPr>
          <w:p w14:paraId="0A6EE8AA" w14:textId="77777777" w:rsidR="00C6260F" w:rsidRPr="0065372A" w:rsidRDefault="000B647B">
            <w:pPr>
              <w:pStyle w:val="TableParagraph"/>
              <w:spacing w:before="48" w:line="240" w:lineRule="auto"/>
              <w:ind w:left="81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 xml:space="preserve">Modalidade </w:t>
            </w:r>
            <w:r w:rsidR="006001C7" w:rsidRPr="0065372A">
              <w:rPr>
                <w:sz w:val="20"/>
                <w:szCs w:val="20"/>
              </w:rPr>
              <w:t xml:space="preserve">Presencial </w:t>
            </w:r>
            <w:r w:rsidR="008800B9" w:rsidRPr="0065372A">
              <w:rPr>
                <w:sz w:val="20"/>
                <w:szCs w:val="20"/>
              </w:rPr>
              <w:t>- Sede CAU/PR (Av. Nossa Sra da Luz, 2530 – Curitiba/PR)</w:t>
            </w:r>
          </w:p>
        </w:tc>
      </w:tr>
    </w:tbl>
    <w:p w14:paraId="4DEA05DD" w14:textId="77777777" w:rsidR="00C6260F" w:rsidRPr="0065372A" w:rsidRDefault="00C6260F" w:rsidP="00BE2AF3">
      <w:pPr>
        <w:tabs>
          <w:tab w:val="left" w:pos="1376"/>
          <w:tab w:val="left" w:pos="1956"/>
          <w:tab w:val="left" w:pos="9285"/>
        </w:tabs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4129"/>
      </w:tblGrid>
      <w:tr w:rsidR="00C6260F" w:rsidRPr="0065372A" w14:paraId="5E4F74AC" w14:textId="77777777" w:rsidTr="00B4064E">
        <w:trPr>
          <w:trHeight w:val="439"/>
        </w:trPr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65372A" w:rsidRDefault="00C6260F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7C0C1665" w14:textId="77777777" w:rsidR="00C6260F" w:rsidRPr="0065372A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PARTICIPANTES</w:t>
            </w:r>
          </w:p>
        </w:tc>
        <w:tc>
          <w:tcPr>
            <w:tcW w:w="4820" w:type="dxa"/>
          </w:tcPr>
          <w:p w14:paraId="76C424F0" w14:textId="313BAE8F" w:rsidR="00C6260F" w:rsidRPr="0065372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 xml:space="preserve"> </w:t>
            </w:r>
            <w:r w:rsidR="003660E5" w:rsidRPr="0065372A">
              <w:rPr>
                <w:sz w:val="20"/>
                <w:szCs w:val="20"/>
              </w:rPr>
              <w:t>Idevall dos Santos Filho</w:t>
            </w:r>
            <w:r w:rsidR="006C6A5F" w:rsidRPr="0065372A">
              <w:rPr>
                <w:sz w:val="20"/>
                <w:szCs w:val="20"/>
              </w:rPr>
              <w:t xml:space="preserve"> / M</w:t>
            </w:r>
            <w:r w:rsidR="002D2BC2" w:rsidRPr="0065372A">
              <w:rPr>
                <w:sz w:val="20"/>
                <w:szCs w:val="20"/>
              </w:rPr>
              <w:t>embro</w:t>
            </w:r>
            <w:r w:rsidR="006C6A5F" w:rsidRPr="0065372A">
              <w:rPr>
                <w:sz w:val="20"/>
                <w:szCs w:val="20"/>
              </w:rPr>
              <w:t xml:space="preserve"> T</w:t>
            </w:r>
            <w:r w:rsidR="003660E5" w:rsidRPr="0065372A">
              <w:rPr>
                <w:sz w:val="20"/>
                <w:szCs w:val="20"/>
              </w:rPr>
              <w:t>itular</w:t>
            </w:r>
          </w:p>
          <w:p w14:paraId="5DC9FBF4" w14:textId="6203AB87" w:rsidR="00DE40A6" w:rsidRPr="0065372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 xml:space="preserve"> </w:t>
            </w:r>
            <w:r w:rsidR="00FE76E2" w:rsidRPr="0065372A">
              <w:rPr>
                <w:sz w:val="20"/>
                <w:szCs w:val="20"/>
              </w:rPr>
              <w:t>Jeancarlo Versetti / Membro Titular</w:t>
            </w:r>
          </w:p>
        </w:tc>
        <w:tc>
          <w:tcPr>
            <w:tcW w:w="4129" w:type="dxa"/>
          </w:tcPr>
          <w:p w14:paraId="28D3A7B8" w14:textId="77777777" w:rsidR="00FE76E2" w:rsidRPr="0065372A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Coordenador</w:t>
            </w:r>
            <w:r w:rsidR="00E5694E" w:rsidRPr="0065372A">
              <w:rPr>
                <w:sz w:val="20"/>
                <w:szCs w:val="20"/>
              </w:rPr>
              <w:t>-Titular</w:t>
            </w:r>
          </w:p>
          <w:p w14:paraId="5AD5FCC8" w14:textId="5845B9C9" w:rsidR="00DE40A6" w:rsidRPr="0065372A" w:rsidRDefault="00FE76E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Conselheiro-Titular</w:t>
            </w:r>
          </w:p>
        </w:tc>
      </w:tr>
      <w:tr w:rsidR="00C6260F" w:rsidRPr="0065372A" w14:paraId="7A53A05D" w14:textId="77777777" w:rsidTr="00B4064E">
        <w:trPr>
          <w:trHeight w:val="105"/>
        </w:trPr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65372A" w:rsidRDefault="00C6260F" w:rsidP="005D073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6770819" w14:textId="3EC25777" w:rsidR="00267849" w:rsidRPr="0065372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 xml:space="preserve"> </w:t>
            </w:r>
            <w:r w:rsidR="00537F92" w:rsidRPr="0065372A">
              <w:rPr>
                <w:sz w:val="20"/>
                <w:szCs w:val="20"/>
              </w:rPr>
              <w:t xml:space="preserve">João Eduardo Dressler </w:t>
            </w:r>
          </w:p>
        </w:tc>
        <w:tc>
          <w:tcPr>
            <w:tcW w:w="4129" w:type="dxa"/>
          </w:tcPr>
          <w:p w14:paraId="25CB10E3" w14:textId="2C0EF113" w:rsidR="00D32F7E" w:rsidRPr="0065372A" w:rsidRDefault="00C5183C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Gerente Contábil</w:t>
            </w:r>
            <w:r w:rsidR="00C03952" w:rsidRPr="0065372A">
              <w:rPr>
                <w:sz w:val="20"/>
                <w:szCs w:val="20"/>
              </w:rPr>
              <w:t>-</w:t>
            </w:r>
            <w:r w:rsidRPr="0065372A">
              <w:rPr>
                <w:sz w:val="20"/>
                <w:szCs w:val="20"/>
              </w:rPr>
              <w:t>Financeir</w:t>
            </w:r>
            <w:r w:rsidR="00C03952" w:rsidRPr="0065372A">
              <w:rPr>
                <w:sz w:val="20"/>
                <w:szCs w:val="20"/>
              </w:rPr>
              <w:t>o</w:t>
            </w:r>
          </w:p>
        </w:tc>
      </w:tr>
      <w:tr w:rsidR="00C6260F" w:rsidRPr="0065372A" w14:paraId="06D44D7D" w14:textId="77777777" w:rsidTr="0058643C">
        <w:trPr>
          <w:trHeight w:val="152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65372A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ASSESSORIA</w:t>
            </w:r>
          </w:p>
        </w:tc>
        <w:tc>
          <w:tcPr>
            <w:tcW w:w="8949" w:type="dxa"/>
            <w:gridSpan w:val="2"/>
          </w:tcPr>
          <w:p w14:paraId="1C410E75" w14:textId="17E9225E" w:rsidR="00C6260F" w:rsidRPr="0065372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 xml:space="preserve"> </w:t>
            </w:r>
            <w:r w:rsidR="00BF1779" w:rsidRPr="0065372A">
              <w:rPr>
                <w:sz w:val="20"/>
                <w:szCs w:val="20"/>
              </w:rPr>
              <w:t>Patrícia Ostroski Maia  - Setor Financeiro</w:t>
            </w:r>
          </w:p>
        </w:tc>
      </w:tr>
      <w:tr w:rsidR="00DE40A6" w:rsidRPr="0065372A" w14:paraId="642110D4" w14:textId="77777777" w:rsidTr="00734520">
        <w:trPr>
          <w:trHeight w:val="116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D4F8853" w14:textId="439C6EEA" w:rsidR="00DE40A6" w:rsidRPr="0065372A" w:rsidRDefault="00DE40A6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OBSERVAÇÕES</w:t>
            </w:r>
          </w:p>
        </w:tc>
        <w:tc>
          <w:tcPr>
            <w:tcW w:w="8949" w:type="dxa"/>
            <w:gridSpan w:val="2"/>
          </w:tcPr>
          <w:p w14:paraId="0F2D9E5D" w14:textId="36CFAC89" w:rsidR="00DE40A6" w:rsidRPr="0065372A" w:rsidRDefault="00DE40A6" w:rsidP="00DE40A6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A sessão</w:t>
            </w:r>
            <w:r w:rsidR="00872232" w:rsidRPr="0065372A">
              <w:rPr>
                <w:sz w:val="20"/>
                <w:szCs w:val="20"/>
              </w:rPr>
              <w:t xml:space="preserve"> instarou-se com atraso </w:t>
            </w:r>
            <w:r w:rsidRPr="0065372A">
              <w:rPr>
                <w:sz w:val="20"/>
                <w:szCs w:val="20"/>
              </w:rPr>
              <w:t>visto problemas</w:t>
            </w:r>
            <w:r w:rsidR="0085522D" w:rsidRPr="0065372A">
              <w:rPr>
                <w:sz w:val="20"/>
                <w:szCs w:val="20"/>
              </w:rPr>
              <w:t xml:space="preserve"> de </w:t>
            </w:r>
            <w:r w:rsidRPr="0065372A">
              <w:rPr>
                <w:sz w:val="20"/>
                <w:szCs w:val="20"/>
              </w:rPr>
              <w:t>trânsito do</w:t>
            </w:r>
            <w:r w:rsidR="00400C65" w:rsidRPr="0065372A">
              <w:rPr>
                <w:sz w:val="20"/>
                <w:szCs w:val="20"/>
              </w:rPr>
              <w:t xml:space="preserve"> Coordenador Idevall dos Santos Filho</w:t>
            </w:r>
            <w:r w:rsidR="006206FE">
              <w:rPr>
                <w:sz w:val="20"/>
                <w:szCs w:val="20"/>
              </w:rPr>
              <w:t>.</w:t>
            </w:r>
            <w:r w:rsidR="00400C65" w:rsidRPr="0065372A">
              <w:rPr>
                <w:sz w:val="20"/>
                <w:szCs w:val="20"/>
              </w:rPr>
              <w:t xml:space="preserve"> Já o Conselheiro Antonio Ricardo Sardo justificou ausência via e-mail em 19/05/2022. </w:t>
            </w:r>
            <w:r w:rsidR="004F0B63" w:rsidRPr="0065372A">
              <w:rPr>
                <w:sz w:val="20"/>
                <w:szCs w:val="20"/>
              </w:rPr>
              <w:t xml:space="preserve"> </w:t>
            </w:r>
          </w:p>
        </w:tc>
      </w:tr>
    </w:tbl>
    <w:p w14:paraId="077AD49D" w14:textId="77777777" w:rsidR="00C6260F" w:rsidRPr="0065372A" w:rsidRDefault="006E420D" w:rsidP="005F135E">
      <w:pPr>
        <w:spacing w:before="7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39.75pt;margin-top:12.7pt;width:530.2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C6260F" w:rsidRPr="0065372A" w14:paraId="1D894F6B" w14:textId="77777777" w:rsidTr="0002070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65372A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6537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3F9460CB" w:rsidR="00C6260F" w:rsidRPr="0065372A" w:rsidRDefault="002D0A45" w:rsidP="00334C22">
            <w:pPr>
              <w:pStyle w:val="TableParagraph"/>
              <w:ind w:left="10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APROVAÇÃO DA </w:t>
            </w:r>
            <w:r w:rsidR="003D1AD9" w:rsidRPr="0065372A">
              <w:rPr>
                <w:b/>
                <w:sz w:val="20"/>
                <w:szCs w:val="20"/>
              </w:rPr>
              <w:t xml:space="preserve">PRESTAÇÃO DE CONTAS EDITAL 01/2015 IAB/PR </w:t>
            </w:r>
            <w:r w:rsidR="005B0233">
              <w:rPr>
                <w:b/>
                <w:sz w:val="20"/>
                <w:szCs w:val="20"/>
              </w:rPr>
              <w:t xml:space="preserve">(INSTITUTO DE ARQUITETOS DO BRASIL REGIONAL PARANÁ) - </w:t>
            </w:r>
            <w:r w:rsidR="00334C22">
              <w:rPr>
                <w:b/>
                <w:sz w:val="20"/>
                <w:szCs w:val="20"/>
              </w:rPr>
              <w:t xml:space="preserve">PROJETO </w:t>
            </w:r>
            <w:r w:rsidR="00334C22" w:rsidRPr="00334C22">
              <w:rPr>
                <w:b/>
                <w:sz w:val="20"/>
                <w:szCs w:val="20"/>
              </w:rPr>
              <w:t>VILANOVA ARTIGAS: O FORMAL-COMPOSITIVO E O ÉTICO-POLÍTICO”</w:t>
            </w:r>
          </w:p>
        </w:tc>
      </w:tr>
      <w:tr w:rsidR="00C6260F" w:rsidRPr="0065372A" w14:paraId="30F22B29" w14:textId="77777777" w:rsidTr="00020700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C6260F" w:rsidRPr="0065372A" w:rsidRDefault="002D2BC2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65372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77777777" w:rsidR="00C6260F" w:rsidRPr="0065372A" w:rsidRDefault="007F5BA3" w:rsidP="009B4566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CPFI-CAUPR</w:t>
            </w:r>
          </w:p>
        </w:tc>
      </w:tr>
      <w:tr w:rsidR="00C6260F" w:rsidRPr="0065372A" w14:paraId="1AF16263" w14:textId="77777777" w:rsidTr="0002070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C6260F" w:rsidRPr="0065372A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65372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77777777" w:rsidR="00C6260F" w:rsidRPr="0065372A" w:rsidRDefault="00D733DC" w:rsidP="009B4566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916A83" w:rsidRPr="0065372A" w14:paraId="433F3517" w14:textId="77777777" w:rsidTr="0002070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65372A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65372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4967600A" w14:textId="2836E3E0" w:rsidR="009C7FB5" w:rsidRPr="0065372A" w:rsidRDefault="002F3CC5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iCs/>
                <w:sz w:val="20"/>
                <w:szCs w:val="20"/>
              </w:rPr>
              <w:t>Considerando a Portaria nº 370/2022 CAU/PR, a qual estabelece o “Grupo de Trabalho de Prestação de Contas de beneficiários por Editais”</w:t>
            </w:r>
            <w:r w:rsidR="00537092" w:rsidRPr="0065372A">
              <w:rPr>
                <w:iCs/>
                <w:sz w:val="20"/>
                <w:szCs w:val="20"/>
              </w:rPr>
              <w:t>,</w:t>
            </w:r>
            <w:r w:rsidR="00E43381" w:rsidRPr="0065372A">
              <w:rPr>
                <w:iCs/>
                <w:sz w:val="20"/>
                <w:szCs w:val="20"/>
              </w:rPr>
              <w:t xml:space="preserve"> </w:t>
            </w:r>
            <w:r w:rsidR="00537092" w:rsidRPr="0065372A">
              <w:rPr>
                <w:iCs/>
                <w:sz w:val="20"/>
                <w:szCs w:val="20"/>
              </w:rPr>
              <w:t>foi realizada na data de 12/05/2022 uma análise prévia das Contas referentes ao Edital 01/2015 IAB/PR – Projeto Vilanova Artigas. Contudo, tendo em vista o</w:t>
            </w:r>
            <w:r w:rsidR="00537092" w:rsidRPr="0065372A">
              <w:t xml:space="preserve"> </w:t>
            </w:r>
            <w:r w:rsidR="00537092" w:rsidRPr="0065372A">
              <w:rPr>
                <w:iCs/>
                <w:sz w:val="20"/>
                <w:szCs w:val="20"/>
              </w:rPr>
              <w:t xml:space="preserve">previsto no art. 13, inciso III, alinea IV da Del. 025/2015 CAU/PR, faz-se necessário que a CPFI-CAU/PR </w:t>
            </w:r>
            <w:r w:rsidR="00025A41" w:rsidRPr="0065372A">
              <w:rPr>
                <w:iCs/>
                <w:sz w:val="20"/>
                <w:szCs w:val="20"/>
              </w:rPr>
              <w:t xml:space="preserve">efetue a fiscalização e aprovação final das contas do projeto, avaliando </w:t>
            </w:r>
            <w:r w:rsidR="00084106" w:rsidRPr="0065372A">
              <w:rPr>
                <w:iCs/>
                <w:sz w:val="20"/>
                <w:szCs w:val="20"/>
              </w:rPr>
              <w:t xml:space="preserve">todas </w:t>
            </w:r>
            <w:r w:rsidR="00025A41" w:rsidRPr="0065372A">
              <w:rPr>
                <w:iCs/>
                <w:sz w:val="20"/>
                <w:szCs w:val="20"/>
              </w:rPr>
              <w:t>as etapas de materialização</w:t>
            </w:r>
            <w:r w:rsidR="00084106" w:rsidRPr="0065372A">
              <w:rPr>
                <w:iCs/>
                <w:sz w:val="20"/>
                <w:szCs w:val="20"/>
              </w:rPr>
              <w:t xml:space="preserve">. </w:t>
            </w:r>
            <w:r w:rsidR="00BD4E24" w:rsidRPr="0065372A">
              <w:rPr>
                <w:iCs/>
                <w:sz w:val="20"/>
                <w:szCs w:val="20"/>
              </w:rPr>
              <w:t>Para fins de conhecimento e registro,</w:t>
            </w:r>
            <w:r w:rsidR="00E43381" w:rsidRPr="0065372A">
              <w:rPr>
                <w:iCs/>
                <w:sz w:val="20"/>
                <w:szCs w:val="20"/>
              </w:rPr>
              <w:t xml:space="preserve"> a </w:t>
            </w:r>
            <w:r w:rsidR="00BD4E24" w:rsidRPr="0065372A">
              <w:rPr>
                <w:iCs/>
                <w:sz w:val="20"/>
                <w:szCs w:val="20"/>
              </w:rPr>
              <w:t xml:space="preserve">documentação pertinente foi encaminhada aos conselheiros da comissão via </w:t>
            </w:r>
            <w:r w:rsidR="00BD4E24" w:rsidRPr="0065372A">
              <w:rPr>
                <w:iCs/>
                <w:color w:val="000000" w:themeColor="text1"/>
                <w:sz w:val="20"/>
                <w:szCs w:val="20"/>
              </w:rPr>
              <w:t>link</w:t>
            </w:r>
            <w:r w:rsidR="003424C2" w:rsidRPr="0065372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 </w:t>
            </w:r>
            <w:hyperlink r:id="rId7" w:history="1">
              <w:r w:rsidR="003424C2" w:rsidRPr="0065372A">
                <w:rPr>
                  <w:rStyle w:val="Hyperlink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Documentação do GT de Edital - IAB-PR</w:t>
              </w:r>
            </w:hyperlink>
            <w:r w:rsidR="00E43381" w:rsidRPr="0065372A">
              <w:rPr>
                <w:rStyle w:val="Hyperlink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E43381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660ED7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Antes de quaisquer </w:t>
            </w:r>
            <w:r w:rsidR="009C7FB5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deliberações, </w:t>
            </w:r>
            <w:r w:rsidR="00660ED7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os conselheiros efetuaram a leitura da Ata da Reunião Ordinária 01/2022 </w:t>
            </w:r>
            <w:r w:rsidR="00660ED7" w:rsidRPr="0065372A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do Grupo de Traballho de Prestação de Contas de Beneficiários por Editais</w:t>
            </w:r>
            <w:r w:rsidR="00614864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conforme Portaria nº 370/2022</w:t>
            </w:r>
            <w:r w:rsidR="00B4064E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. </w:t>
            </w:r>
            <w:r w:rsidR="009C7FB5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Após análise dos documentos e as devidas explanações da Gerência Contábil-Financeiro, a comissão efetuou os seguintes questionamentos: </w:t>
            </w:r>
            <w:r w:rsidR="00170A6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.-..-.-.-.-..-.-.-.-.-.</w:t>
            </w:r>
            <w:r w:rsidR="00A247BB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.-.-.-.-..-.-.-</w:t>
            </w:r>
          </w:p>
          <w:p w14:paraId="5CD0C0A5" w14:textId="60B734BF" w:rsidR="00596D19" w:rsidRPr="0065372A" w:rsidRDefault="00596D19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.-..-.-.-.-..-.-.-.-.-..-.-.-.-..</w:t>
            </w:r>
            <w:r w:rsidRPr="0065372A">
              <w:t xml:space="preserve"> </w:t>
            </w: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.-..-.-.-.-..-.-.-.-.-..-.-</w:t>
            </w:r>
            <w:r w:rsidRPr="0065372A">
              <w:t xml:space="preserve"> </w:t>
            </w: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.-..-.-.-.-..-.-.-.-.-..-.-.-.-..-.-.-.-..</w:t>
            </w:r>
            <w:r w:rsidRPr="0065372A">
              <w:t xml:space="preserve"> </w:t>
            </w: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.-..-.-.-.-..-.-.-.-.-..-.-.-</w:t>
            </w:r>
            <w:r w:rsidRPr="0065372A">
              <w:t xml:space="preserve"> </w:t>
            </w: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.-..-.-.-.-..-.-.-.</w:t>
            </w:r>
          </w:p>
          <w:p w14:paraId="6C39D533" w14:textId="770EF615" w:rsidR="00170A6A" w:rsidRPr="0065372A" w:rsidRDefault="00170A6A" w:rsidP="0058643C">
            <w:pPr>
              <w:pStyle w:val="TableParagraph"/>
              <w:numPr>
                <w:ilvl w:val="0"/>
                <w:numId w:val="4"/>
              </w:numPr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a) O Coorde</w:t>
            </w:r>
            <w:r w:rsidR="007B5F50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nador </w:t>
            </w: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Idevall dos Santos Filho solicitou a inclusão das datas das publicações que comprovam a realização de diversas palestras: print dos acessos aos sites do cau/pr, youtube e fotos; ..-.-.-.-..-.-.-.-.-...-.-..-. </w:t>
            </w:r>
          </w:p>
          <w:p w14:paraId="046ED0BB" w14:textId="2BB5A905" w:rsidR="0058643C" w:rsidRDefault="00596D19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*</w:t>
            </w:r>
            <w:r w:rsidR="00170A6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“Palestra sobre Artigas em Foz do Iguaçu reúne cerca de 150 pessoas" do CAU/PR - publicado no sítio eletrônico do CAU/PR </w:t>
            </w:r>
            <w:hyperlink r:id="rId8" w:history="1">
              <w:r w:rsidR="00A247BB" w:rsidRPr="0065372A">
                <w:rPr>
                  <w:rStyle w:val="Hyperlink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https://www.caupr.gov.br/?p=14770</w:t>
              </w:r>
            </w:hyperlink>
            <w:r w:rsidR="00A247BB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| Data: </w:t>
            </w:r>
            <w:r w:rsidR="004026F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01/10/2015</w:t>
            </w:r>
            <w:r w:rsidR="0058643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623949" w:rsidRPr="0062394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.-.-.-.-..-.-.-.-.-...-.-..-.</w:t>
            </w:r>
          </w:p>
          <w:p w14:paraId="330FB25B" w14:textId="40972CFB" w:rsidR="00A247BB" w:rsidRPr="0065372A" w:rsidRDefault="00596D19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* </w:t>
            </w:r>
            <w:r w:rsidR="00170A6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“Aula sobre Vilanova Artigas encerra Semana de Arquitetura e Urbanismo” - publicado no sítio eletrônico do CAU/PR” &lt;</w:t>
            </w:r>
            <w:r w:rsidR="00170A6A" w:rsidRPr="0065372A">
              <w:rPr>
                <w:rStyle w:val="Hyperlink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https://www.caupr.gov.br/?p=15091</w:t>
            </w:r>
            <w:r w:rsidR="00170A6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&gt; -</w:t>
            </w:r>
            <w:r w:rsidR="00A247BB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| Data: </w:t>
            </w:r>
            <w:r w:rsidR="004026F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29/10/2015</w:t>
            </w:r>
            <w:r w:rsidR="00623949" w:rsidRPr="0062394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.-.-.-.-..-.-.-.-.-...-.-..</w:t>
            </w:r>
            <w:r w:rsidR="0094612F">
              <w:t xml:space="preserve"> </w:t>
            </w:r>
            <w:r w:rsidR="0094612F" w:rsidRPr="0094612F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</w:t>
            </w:r>
          </w:p>
          <w:p w14:paraId="6CA4DEBD" w14:textId="77AD9039" w:rsidR="00A247BB" w:rsidRPr="0065372A" w:rsidRDefault="00596D19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*</w:t>
            </w:r>
            <w:r w:rsidR="00170A6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“Palestra sobre Artigas abre Semana de Arquitetura e Urbanismo em Ponta Grossa” - publicado no sítio eletrônico do CAU/PR &lt;</w:t>
            </w:r>
            <w:r w:rsidR="00170A6A" w:rsidRPr="0065372A">
              <w:rPr>
                <w:rStyle w:val="Hyperlink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https://www.caupr.gov.br/?p=17572</w:t>
            </w:r>
            <w:r w:rsidR="00170A6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&gt; </w:t>
            </w:r>
            <w:r w:rsidR="00A247BB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| Data: </w:t>
            </w:r>
            <w:r w:rsidR="001F53CE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17/05/2016</w:t>
            </w:r>
            <w:r w:rsidR="0058643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623949" w:rsidRPr="0062394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.-.-.-.-..-.-.-.-.-...-.-..-</w:t>
            </w:r>
            <w:r w:rsidR="006E420D">
              <w:t xml:space="preserve"> </w:t>
            </w:r>
            <w:r w:rsidR="006E420D" w:rsidRPr="006E420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.-...-.-</w:t>
            </w:r>
            <w:r w:rsidR="00623949" w:rsidRPr="0062394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</w:t>
            </w:r>
          </w:p>
          <w:p w14:paraId="5DD24FBA" w14:textId="046A4D8E" w:rsidR="00170A6A" w:rsidRPr="0065372A" w:rsidRDefault="00596D19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* </w:t>
            </w:r>
            <w:r w:rsidR="00170A6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“Diálogos CAU/PR - Mesa Redonda Vilanova Artigas” - publicado no sítio eletrônico Youtube</w:t>
            </w:r>
            <w:r w:rsidR="0058643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58643C" w:rsidRPr="0058643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https://www.youtube.com/watch?v=tg_a0hLkqaI </w:t>
            </w:r>
            <w:r w:rsidR="0058643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A247BB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|</w:t>
            </w:r>
            <w:r w:rsidR="0058516F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AB3B93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Data: Casa Cor Paraná </w:t>
            </w:r>
            <w:r w:rsidR="00D46550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2015</w:t>
            </w:r>
            <w:r w:rsidR="00747336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(link corrigido após consulta) </w:t>
            </w:r>
          </w:p>
          <w:p w14:paraId="55E573F0" w14:textId="0F16A323" w:rsidR="0028609E" w:rsidRPr="0065372A" w:rsidRDefault="00170A6A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b) o valor foi reduzido</w:t>
            </w:r>
            <w:r w:rsidR="000E44E1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5F50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de R$ 20.000,00 para R$ 17.000,00 </w:t>
            </w: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pelo </w:t>
            </w:r>
            <w:r w:rsidR="007B5F50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próprio </w:t>
            </w: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CAU/PR</w:t>
            </w:r>
            <w:r w:rsidR="007B5F50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350F7B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na </w:t>
            </w:r>
            <w:r w:rsid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50ª </w:t>
            </w:r>
            <w:r w:rsidR="00350F7B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Plenária</w:t>
            </w:r>
            <w:r w:rsidR="00334C2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de 23/11/2015</w:t>
            </w:r>
            <w:r w:rsidR="00350F7B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não </w:t>
            </w:r>
            <w:r w:rsidR="001E10C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sendo apresentado motivos</w:t>
            </w:r>
            <w:r w:rsidR="00462ED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por escrito</w:t>
            </w:r>
            <w:r w:rsidR="001E10C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0062FF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para tal</w:t>
            </w:r>
            <w:r w:rsidR="00462ED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ato;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.-.-.-..-.-.-.-.-...-.-..-.</w:t>
            </w:r>
            <w:r w:rsidR="00741D8D" w:rsidRPr="0065372A">
              <w:t xml:space="preserve">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.-.-.-..-.-.-.-.-...-.-..-.</w:t>
            </w:r>
          </w:p>
          <w:p w14:paraId="22B3ECD9" w14:textId="29D59C14" w:rsidR="00170A6A" w:rsidRPr="0065372A" w:rsidRDefault="00652E8E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c) </w:t>
            </w:r>
            <w:r w:rsidR="00170A6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 CAU/PR </w:t>
            </w:r>
            <w:r w:rsidR="00B8546F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declara que s</w:t>
            </w:r>
            <w:r w:rsidR="00170A6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olicitou ao IAB/PR as devidas prestações de Contas</w:t>
            </w:r>
            <w:r w:rsidR="000F05D5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atr</w:t>
            </w:r>
            <w:r w:rsidR="007B5F50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avés de </w:t>
            </w:r>
            <w:r w:rsidR="000F05D5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Protocolo, </w:t>
            </w:r>
            <w:r w:rsidR="007B5F50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não tendo recebido resposta da entidade</w:t>
            </w:r>
            <w:r w:rsidR="00283A0C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;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</w:t>
            </w:r>
            <w:r w:rsidR="00741D8D" w:rsidRPr="0065372A">
              <w:t xml:space="preserve">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.-.-.-..-.-.-.-.-...-.-..-..-</w:t>
            </w:r>
            <w:r w:rsidR="00741D8D" w:rsidRPr="0065372A">
              <w:t xml:space="preserve">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</w:t>
            </w:r>
            <w:r w:rsidR="00741D8D" w:rsidRPr="0065372A">
              <w:t xml:space="preserve">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</w:t>
            </w:r>
          </w:p>
          <w:p w14:paraId="70AACF62" w14:textId="45EA93A0" w:rsidR="00652E8E" w:rsidRPr="0065372A" w:rsidRDefault="00652E8E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d) o IAB/PR apresentou toda a documentação</w:t>
            </w:r>
            <w:r w:rsidR="000C38C6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quanto a </w:t>
            </w:r>
            <w:r w:rsidR="00B8546F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formalização e </w:t>
            </w:r>
            <w:r w:rsidR="000C38C6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execução do projeto</w:t>
            </w: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tanto via ofício quanto através de declarações;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.-.-.-..-.-.-.-.-...-.-..-.</w:t>
            </w:r>
            <w:r w:rsidR="00741D8D" w:rsidRPr="0065372A">
              <w:t xml:space="preserve">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</w:t>
            </w:r>
            <w:r w:rsidR="00741D8D" w:rsidRPr="0065372A">
              <w:t xml:space="preserve">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.-.-.-..-.-.-.-.-...-.-..-...-</w:t>
            </w:r>
            <w:r w:rsidR="00741D8D" w:rsidRPr="0065372A">
              <w:t xml:space="preserve">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.-.-.-..-.-.-.-.-...-.-..-..</w:t>
            </w:r>
          </w:p>
          <w:p w14:paraId="5DC18333" w14:textId="237ACCB6" w:rsidR="00652E8E" w:rsidRPr="0065372A" w:rsidRDefault="001F53CE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e) a </w:t>
            </w:r>
            <w:r w:rsidR="000119A1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M</w:t>
            </w: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inuta de </w:t>
            </w:r>
            <w:r w:rsidR="000119A1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</w:t>
            </w: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onv</w:t>
            </w:r>
            <w:r w:rsidR="00037E1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ênio previa o valor de R$ 17.000,00 com contrapartida de R$</w:t>
            </w:r>
            <w:r w:rsidR="009C2306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6.500,00 </w:t>
            </w:r>
            <w:r w:rsidR="00037E1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t</w:t>
            </w: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otalizando</w:t>
            </w:r>
            <w:r w:rsidR="00037E1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R$</w:t>
            </w: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23</w:t>
            </w:r>
            <w:r w:rsidR="00037E1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.000,00, tendo o IAB/PR apresentado comprovação </w:t>
            </w:r>
            <w:r w:rsidR="009C2306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deste valor</w:t>
            </w:r>
            <w:r w:rsidR="003F1F40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e arcando com as eventuais </w:t>
            </w:r>
            <w:r w:rsidR="00037E1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diferença</w:t>
            </w:r>
            <w:r w:rsidR="003F1F40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s; </w:t>
            </w:r>
            <w:r w:rsidR="00037E1A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8F65CC5" w14:textId="676CFF5B" w:rsidR="00AB3B93" w:rsidRPr="0065372A" w:rsidRDefault="00037E1A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f)</w:t>
            </w:r>
            <w:r w:rsidR="004B75A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O TCU </w:t>
            </w:r>
            <w:r w:rsidR="0052680B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relatou que este processo trata de um aco</w:t>
            </w:r>
            <w:r w:rsidR="000E44E1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r</w:t>
            </w:r>
            <w:r w:rsidR="0052680B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do de cunho administrativo </w:t>
            </w:r>
            <w:r w:rsidR="00AB3B93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entre as </w:t>
            </w:r>
            <w:r w:rsidR="00ED069F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partes</w:t>
            </w:r>
            <w:r w:rsidR="00AB3B93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, não hav</w:t>
            </w:r>
            <w:r w:rsidR="00B8546F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endo </w:t>
            </w:r>
            <w:r w:rsidR="00AB3B93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necessidade de </w:t>
            </w:r>
            <w:r w:rsidR="00B8546F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“</w:t>
            </w:r>
            <w:r w:rsidR="00AB3B93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Tomada </w:t>
            </w:r>
            <w:r w:rsidR="000E44E1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de </w:t>
            </w:r>
            <w:r w:rsidR="00AB3B93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Contas na modalidade especial</w:t>
            </w:r>
            <w:r w:rsidR="00B8546F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”</w:t>
            </w:r>
            <w:r w:rsidR="00AB3B93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visto ser um valor </w:t>
            </w:r>
            <w:r w:rsidR="00334C2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menor que </w:t>
            </w:r>
            <w:r w:rsidR="00462ED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R$ 100.000,00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-.-.</w:t>
            </w:r>
          </w:p>
          <w:p w14:paraId="214689FE" w14:textId="124A50B3" w:rsidR="00596D19" w:rsidRPr="0065372A" w:rsidRDefault="0052680B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g) </w:t>
            </w:r>
            <w:r w:rsidR="0096141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disponibiliza</w:t>
            </w:r>
            <w:r w:rsidR="00334C2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 o livro </w:t>
            </w:r>
            <w:r w:rsidR="0096141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no formato digital aos conselheiros do CAU/</w:t>
            </w:r>
            <w:r w:rsidR="003135F8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PR </w:t>
            </w:r>
            <w:r w:rsidR="0096141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para conhecimento da obra;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.-.-.-..-.-.-.-.-...-.-..-.</w:t>
            </w:r>
            <w:r w:rsidR="00741D8D" w:rsidRPr="0065372A">
              <w:t xml:space="preserve">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.-.-.-..-.-.-.-.-...-.-..-.</w:t>
            </w:r>
            <w:r w:rsidR="00741D8D" w:rsidRPr="0065372A">
              <w:t xml:space="preserve">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</w:t>
            </w:r>
            <w:r w:rsidR="00741D8D" w:rsidRPr="0065372A">
              <w:t xml:space="preserve"> </w:t>
            </w:r>
            <w:r w:rsidR="00741D8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</w:t>
            </w:r>
            <w:r w:rsidR="0058643C">
              <w:t xml:space="preserve"> </w:t>
            </w:r>
            <w:r w:rsidR="0058643C" w:rsidRPr="0058643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 .-.-.-..-.-.</w:t>
            </w:r>
            <w:r w:rsidR="0094612F">
              <w:t xml:space="preserve"> </w:t>
            </w:r>
            <w:r w:rsidR="0094612F" w:rsidRPr="0094612F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</w:t>
            </w:r>
          </w:p>
          <w:p w14:paraId="0FB75FA6" w14:textId="13E857EB" w:rsidR="00596D19" w:rsidRPr="0065372A" w:rsidRDefault="00596D19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No decorrer da sessão e conforme o conteúdo exposto, a Comissão efetuou as seguintes observações: </w:t>
            </w:r>
            <w:r w:rsidR="0058643C" w:rsidRPr="0058643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-.-...-.-.</w:t>
            </w:r>
          </w:p>
          <w:p w14:paraId="06E14F41" w14:textId="4028B25F" w:rsidR="003135F8" w:rsidRPr="0065372A" w:rsidRDefault="00F243AC" w:rsidP="00F243AC">
            <w:pPr>
              <w:pStyle w:val="TableParagraph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a) </w:t>
            </w:r>
            <w:r w:rsidR="007A3618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efetuará a revisão das Deliberações </w:t>
            </w:r>
            <w:r w:rsidR="00AB3B93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nº 025/2015 e 084/2018</w:t>
            </w:r>
            <w:r w:rsidR="00707D8E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AB3B93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em Reunião Ordinária </w:t>
            </w:r>
            <w:r w:rsidR="007A3618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para a devida adequação e conferência das normas</w:t>
            </w:r>
            <w:r w:rsidR="00707D8E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citadas neste processo; </w:t>
            </w:r>
            <w:r w:rsidR="005C5B2F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</w:t>
            </w:r>
            <w:r w:rsidR="0058643C">
              <w:t xml:space="preserve"> </w:t>
            </w:r>
            <w:r w:rsidR="0058643C" w:rsidRPr="0058643C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 .-.-.-..-.-.-.-.-...-.-..-..</w:t>
            </w:r>
            <w:r w:rsidR="005C5B2F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-...</w:t>
            </w:r>
            <w:r w:rsidR="005B0233">
              <w:t xml:space="preserve"> </w:t>
            </w:r>
            <w:r w:rsidR="005B0233" w:rsidRPr="005B023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-.-.-.-</w:t>
            </w:r>
          </w:p>
          <w:p w14:paraId="1E6F4B06" w14:textId="38E7020E" w:rsidR="00F243AC" w:rsidRDefault="00F243AC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b</w:t>
            </w:r>
            <w:r w:rsidR="002F5568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) </w:t>
            </w:r>
            <w:r w:rsidR="001E10CD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 </w:t>
            </w:r>
            <w:r w:rsidR="002F5568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CPFI determinou a obrigatoriedade do CAU/PR informar aos conselheiros e colaboradores quanto a entrega da “</w:t>
            </w:r>
            <w:r w:rsidR="002F5568" w:rsidRPr="0065372A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Declaração de IR</w:t>
            </w:r>
            <w:r w:rsidR="002145AB" w:rsidRPr="0065372A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Exercício 2022</w:t>
            </w:r>
            <w:r w:rsidR="002145AB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”</w:t>
            </w:r>
            <w:r w:rsidR="00333A2F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2F5568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ou “</w:t>
            </w:r>
            <w:r w:rsidR="002F5568" w:rsidRPr="0065372A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Fo</w:t>
            </w:r>
            <w:r w:rsidR="00293F9E" w:rsidRPr="0065372A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rmulário </w:t>
            </w:r>
            <w:r w:rsidR="002F5568" w:rsidRPr="0065372A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 Autorização de Acesso</w:t>
            </w:r>
            <w:r w:rsidR="00293F9E" w:rsidRPr="0065372A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pelo TCU</w:t>
            </w:r>
            <w:r w:rsidR="002F5568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”</w:t>
            </w:r>
            <w:r w:rsidR="00293F9E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impreterivelmente até 30/06.</w:t>
            </w:r>
            <w:r w:rsidR="00BE3D91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074542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Ademais, </w:t>
            </w:r>
            <w:r w:rsidR="00333A2F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aqueles que ainda não </w:t>
            </w:r>
            <w:r w:rsidR="0062394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entregaram a</w:t>
            </w:r>
            <w:r w:rsidR="00333A2F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documentação referente ao </w:t>
            </w:r>
            <w:r w:rsidR="00BE3D91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Exercício 2021 </w:t>
            </w:r>
            <w:r w:rsidR="00623949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tiveram seus nomes </w:t>
            </w:r>
            <w:r w:rsidR="00074542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encaminhados ao referido órgão </w:t>
            </w:r>
            <w:r w:rsidR="00293F9E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informando sobre tal negativa</w:t>
            </w:r>
            <w:r w:rsidR="005B0233" w:rsidRPr="005B0233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-.-.-.-...-.--</w:t>
            </w:r>
          </w:p>
          <w:p w14:paraId="67C11F75" w14:textId="1146B71E" w:rsidR="00BC281D" w:rsidRPr="00BC281D" w:rsidRDefault="00F243AC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lastRenderedPageBreak/>
              <w:t xml:space="preserve">c) </w:t>
            </w:r>
            <w:r w:rsid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v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isto o questionamento do Conselheiro Claúdio Bravim na última Reunião do Conselho Diretor sobre o </w:t>
            </w:r>
            <w:r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fechamento do Escritório de Guarapuava e os respectivos impactos para os profissionais, a GEFIN efetuará o levantamento do quantitativo de RRTs emitidos na </w:t>
            </w:r>
            <w:r w:rsidR="00AC1D35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localidade e adjacências </w:t>
            </w:r>
            <w:r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bem como as despesas para manutenção dos serviços</w:t>
            </w:r>
            <w:r w:rsidR="00BC281D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Contudo, </w:t>
            </w:r>
            <w:r w:rsidR="00AC1D35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como as </w:t>
            </w:r>
            <w:r w:rsidR="005B0233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ligações e/ou demandas </w:t>
            </w:r>
            <w:r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oriundas de todo o Estado são </w:t>
            </w:r>
            <w:r w:rsidR="005B0233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respondidas pelo Setor de Atendimento conforme o colaborador disponível, </w:t>
            </w:r>
            <w:r w:rsidR="00AC1D35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esta região não </w:t>
            </w:r>
            <w:r w:rsidR="00BC281D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está </w:t>
            </w:r>
            <w:r w:rsidR="00AC1D35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desamparada de quaisquer orientações do CAU/PR quando necessário. Contudo, a CPFI recomenda que o Conselho inclua a cidade de Guarapuava no calendário de eventos a </w:t>
            </w:r>
            <w:r w:rsidR="00E83C4D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fim de manter o vínculo e prestigiar a região. </w:t>
            </w:r>
            <w:r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293F9E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.-.-.-..-.-.</w:t>
            </w:r>
          </w:p>
          <w:p w14:paraId="1C46AD84" w14:textId="08DAEE4B" w:rsidR="002F5568" w:rsidRPr="00BC281D" w:rsidRDefault="00BC281D" w:rsidP="0058643C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d)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81D">
              <w:rPr>
                <w:sz w:val="20"/>
                <w:szCs w:val="20"/>
              </w:rPr>
              <w:t xml:space="preserve">considerando a reabertura do Escritório de Londrina, a CPFI-CAU/PR recomenda que o </w:t>
            </w:r>
            <w:r w:rsidR="00E83C4D" w:rsidRPr="00BC281D">
              <w:rPr>
                <w:sz w:val="20"/>
                <w:szCs w:val="20"/>
              </w:rPr>
              <w:t>Setor de Comunicação</w:t>
            </w:r>
            <w:r w:rsidRPr="00BC281D">
              <w:rPr>
                <w:sz w:val="20"/>
                <w:szCs w:val="20"/>
              </w:rPr>
              <w:t xml:space="preserve"> verifique a data de início das atividades </w:t>
            </w:r>
            <w:r w:rsidR="006206FE">
              <w:rPr>
                <w:sz w:val="20"/>
                <w:szCs w:val="20"/>
              </w:rPr>
              <w:t xml:space="preserve">e comunique a </w:t>
            </w:r>
            <w:r w:rsidRPr="00BC281D">
              <w:rPr>
                <w:sz w:val="20"/>
                <w:szCs w:val="20"/>
              </w:rPr>
              <w:t>população local através de informes nas mídias</w:t>
            </w:r>
            <w:r>
              <w:rPr>
                <w:sz w:val="20"/>
                <w:szCs w:val="20"/>
              </w:rPr>
              <w:t xml:space="preserve">, site e mala direta </w:t>
            </w:r>
            <w:r w:rsidR="00EC3894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 .-.-.-..-.-.-.-.-...-.-..- .-.-.-..-.-.-.-.-...</w:t>
            </w:r>
            <w:r w:rsidR="00EC3894" w:rsidRPr="00BC281D">
              <w:rPr>
                <w:sz w:val="20"/>
                <w:szCs w:val="20"/>
              </w:rPr>
              <w:t xml:space="preserve"> </w:t>
            </w:r>
            <w:r w:rsidR="00EC3894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 .-.-.-..-.-.-.-.-...-.-..- .-.-.-..-.-.-.-.-...--</w:t>
            </w:r>
            <w:r w:rsidR="00293F9E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-.-.-</w:t>
            </w:r>
            <w:r>
              <w:t xml:space="preserve"> </w:t>
            </w:r>
            <w:r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.-.-.-..-.-.-.-.-...-.-..- .-.-.-..-.-.-.-.-...-.-..- .-.-.-..-.-.-.-.-... .-.-.-..-.-.-</w:t>
            </w:r>
            <w:r w:rsidR="006206FE">
              <w:t xml:space="preserve"> </w:t>
            </w:r>
            <w:r w:rsidR="006206FE" w:rsidRPr="006206FE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.-.-.-..-.-.-.-.-... .-.-.-</w:t>
            </w:r>
          </w:p>
          <w:p w14:paraId="087673A5" w14:textId="18E1C432" w:rsidR="00E43381" w:rsidRPr="0065372A" w:rsidRDefault="009C7FB5" w:rsidP="0058643C">
            <w:pPr>
              <w:pStyle w:val="TableParagraph"/>
              <w:ind w:left="114"/>
              <w:jc w:val="both"/>
              <w:rPr>
                <w:color w:val="0000FF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Considerando </w:t>
            </w:r>
            <w:r w:rsidR="002D0A4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 documentação analisada e </w:t>
            </w:r>
            <w:r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os </w:t>
            </w:r>
            <w:r w:rsidR="00E43381" w:rsidRPr="00BC281D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devidos esclarecimentos</w:t>
            </w:r>
            <w:r w:rsidR="00E43381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do </w:t>
            </w:r>
            <w:r w:rsidR="00970A3E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citado </w:t>
            </w:r>
            <w:r w:rsidR="00E43381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Grupo de Trabalho</w:t>
            </w:r>
            <w:r w:rsidR="002D0A4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e Gerência Contábil-Financeira</w:t>
            </w:r>
            <w:r w:rsidR="00E43381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esta Comissão opina </w:t>
            </w:r>
            <w:r w:rsidR="00BB6516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com 02 (dois) votos favoráveis </w:t>
            </w:r>
            <w:r w:rsidR="00E43381" w:rsidRPr="0065372A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pela </w:t>
            </w:r>
            <w:r w:rsidR="00E43381" w:rsidRPr="0065372A">
              <w:rPr>
                <w:rStyle w:val="Hyperlink"/>
                <w:b/>
                <w:b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APROVAÇÃO DA PRESTAÇÃO DE CONTAS IAB/PR EDITAL 01/2015</w:t>
            </w:r>
            <w:r w:rsidR="002D0A45">
              <w:rPr>
                <w:rStyle w:val="Hyperlink"/>
                <w:b/>
                <w:b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REFERENTE AO </w:t>
            </w:r>
            <w:r w:rsidR="00E43381" w:rsidRPr="0065372A">
              <w:rPr>
                <w:rStyle w:val="Hyperlink"/>
                <w:b/>
                <w:b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PROJETO VILANOVA ARTIGAS (VER DELIBERAÇÃO N° 012/2022 CPFI-CAU/PR)</w:t>
            </w:r>
            <w:r w:rsidR="00BB6516">
              <w:t xml:space="preserve"> </w:t>
            </w:r>
            <w:r w:rsidR="00BB6516" w:rsidRPr="002D0A4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.-.-.-..-.-.-.-.</w:t>
            </w:r>
            <w:r w:rsidR="002D0A45" w:rsidRPr="002D0A4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.-.-.-..-</w:t>
            </w:r>
            <w:r w:rsidR="002D0A45" w:rsidRPr="002D0A45">
              <w:t xml:space="preserve"> </w:t>
            </w:r>
            <w:r w:rsidR="002D0A45" w:rsidRPr="002D0A4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.-.-.-..-.-.-.-.-.-.-.-.-</w:t>
            </w:r>
            <w:r w:rsidR="00BB6516" w:rsidRPr="002D0A45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</w:tbl>
    <w:p w14:paraId="1B1089E9" w14:textId="77777777" w:rsidR="0029709A" w:rsidRPr="0065372A" w:rsidRDefault="0029709A">
      <w:pPr>
        <w:rPr>
          <w:sz w:val="20"/>
          <w:szCs w:val="20"/>
        </w:rPr>
      </w:pPr>
    </w:p>
    <w:p w14:paraId="70E4DD4B" w14:textId="77777777" w:rsidR="00DB27DC" w:rsidRPr="0065372A" w:rsidRDefault="00DB27DC" w:rsidP="00024C3D">
      <w:pPr>
        <w:tabs>
          <w:tab w:val="left" w:pos="4127"/>
        </w:tabs>
        <w:rPr>
          <w:sz w:val="20"/>
          <w:szCs w:val="20"/>
        </w:rPr>
      </w:pPr>
    </w:p>
    <w:p w14:paraId="06DAFDE0" w14:textId="77777777" w:rsidR="00DB27DC" w:rsidRPr="0065372A" w:rsidRDefault="00DB27DC" w:rsidP="00024C3D">
      <w:pPr>
        <w:tabs>
          <w:tab w:val="left" w:pos="4127"/>
        </w:tabs>
        <w:rPr>
          <w:sz w:val="20"/>
          <w:szCs w:val="20"/>
        </w:rPr>
      </w:pPr>
    </w:p>
    <w:p w14:paraId="635F54E3" w14:textId="77777777" w:rsidR="00DB27DC" w:rsidRDefault="00DB27DC" w:rsidP="00024C3D">
      <w:pPr>
        <w:tabs>
          <w:tab w:val="left" w:pos="4127"/>
        </w:tabs>
        <w:rPr>
          <w:sz w:val="20"/>
          <w:szCs w:val="20"/>
        </w:rPr>
      </w:pPr>
    </w:p>
    <w:p w14:paraId="17FC417C" w14:textId="77777777" w:rsidR="00020700" w:rsidRDefault="00020700" w:rsidP="00024C3D">
      <w:pPr>
        <w:tabs>
          <w:tab w:val="left" w:pos="4127"/>
        </w:tabs>
        <w:rPr>
          <w:sz w:val="20"/>
          <w:szCs w:val="20"/>
        </w:rPr>
      </w:pPr>
    </w:p>
    <w:p w14:paraId="2CC699FF" w14:textId="77777777" w:rsidR="00020700" w:rsidRDefault="00020700" w:rsidP="00024C3D">
      <w:pPr>
        <w:tabs>
          <w:tab w:val="left" w:pos="4127"/>
        </w:tabs>
        <w:rPr>
          <w:sz w:val="20"/>
          <w:szCs w:val="20"/>
        </w:rPr>
      </w:pPr>
    </w:p>
    <w:p w14:paraId="7CA7853E" w14:textId="77777777" w:rsidR="00020700" w:rsidRDefault="00020700" w:rsidP="00024C3D">
      <w:pPr>
        <w:tabs>
          <w:tab w:val="left" w:pos="4127"/>
        </w:tabs>
        <w:rPr>
          <w:sz w:val="20"/>
          <w:szCs w:val="20"/>
        </w:rPr>
      </w:pPr>
    </w:p>
    <w:p w14:paraId="5B842C10" w14:textId="5A0E9644" w:rsidR="00020700" w:rsidRPr="0065372A" w:rsidRDefault="00020700" w:rsidP="00024C3D">
      <w:pPr>
        <w:tabs>
          <w:tab w:val="left" w:pos="4127"/>
        </w:tabs>
        <w:rPr>
          <w:sz w:val="20"/>
          <w:szCs w:val="20"/>
        </w:rPr>
        <w:sectPr w:rsidR="00020700" w:rsidRPr="0065372A" w:rsidSect="00DB27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567" w:right="238" w:bottom="567" w:left="227" w:header="284" w:footer="284" w:gutter="0"/>
          <w:cols w:space="720"/>
          <w:docGrid w:linePitch="299"/>
        </w:sectPr>
      </w:pPr>
    </w:p>
    <w:p w14:paraId="495CF3E7" w14:textId="1DC48CB0" w:rsidR="005B30A7" w:rsidRPr="0065372A" w:rsidRDefault="00BD7AB7" w:rsidP="00BD7AB7">
      <w:pPr>
        <w:tabs>
          <w:tab w:val="left" w:pos="6675"/>
        </w:tabs>
        <w:jc w:val="center"/>
        <w:rPr>
          <w:sz w:val="20"/>
          <w:szCs w:val="20"/>
        </w:rPr>
      </w:pPr>
      <w:r w:rsidRPr="0065372A">
        <w:rPr>
          <w:sz w:val="20"/>
          <w:szCs w:val="20"/>
        </w:rPr>
        <w:t>Idevall dos Santos Filho                        Patricia Ostroski Maia</w:t>
      </w:r>
    </w:p>
    <w:p w14:paraId="1938AF91" w14:textId="6DC0DD95" w:rsidR="00A058BC" w:rsidRPr="0065372A" w:rsidRDefault="00BD7AB7" w:rsidP="00DB27DC">
      <w:pPr>
        <w:tabs>
          <w:tab w:val="left" w:pos="6675"/>
        </w:tabs>
        <w:rPr>
          <w:sz w:val="20"/>
          <w:szCs w:val="20"/>
        </w:rPr>
      </w:pPr>
      <w:r w:rsidRPr="0065372A">
        <w:rPr>
          <w:sz w:val="20"/>
          <w:szCs w:val="20"/>
        </w:rPr>
        <w:t xml:space="preserve">                                                               Coordenador Titular da Comissão             Assistente da Comissão </w:t>
      </w:r>
      <w:bookmarkStart w:id="0" w:name="_Hlk98749784"/>
    </w:p>
    <w:p w14:paraId="1B0181C3" w14:textId="3D4D8D79" w:rsidR="00C359F9" w:rsidRPr="0065372A" w:rsidRDefault="00C359F9" w:rsidP="00DB27DC">
      <w:pPr>
        <w:tabs>
          <w:tab w:val="left" w:pos="6675"/>
        </w:tabs>
        <w:rPr>
          <w:sz w:val="20"/>
          <w:szCs w:val="20"/>
        </w:rPr>
      </w:pPr>
    </w:p>
    <w:p w14:paraId="63393578" w14:textId="77777777" w:rsidR="000E3FB5" w:rsidRPr="0065372A" w:rsidRDefault="000E3FB5" w:rsidP="00DB27DC">
      <w:pPr>
        <w:tabs>
          <w:tab w:val="left" w:pos="6675"/>
        </w:tabs>
        <w:rPr>
          <w:sz w:val="20"/>
          <w:szCs w:val="20"/>
        </w:rPr>
      </w:pPr>
    </w:p>
    <w:p w14:paraId="2EB415D5" w14:textId="2D44B47C" w:rsidR="0072277B" w:rsidRPr="0065372A" w:rsidRDefault="00E95732" w:rsidP="0072277B">
      <w:pPr>
        <w:autoSpaceDE/>
        <w:autoSpaceDN/>
        <w:spacing w:before="80"/>
        <w:ind w:right="3"/>
        <w:jc w:val="center"/>
        <w:outlineLvl w:val="0"/>
        <w:rPr>
          <w:sz w:val="20"/>
          <w:szCs w:val="20"/>
          <w:lang w:val="pt-BR"/>
        </w:rPr>
      </w:pPr>
      <w:r w:rsidRPr="0065372A">
        <w:rPr>
          <w:b/>
          <w:bCs/>
          <w:sz w:val="20"/>
          <w:szCs w:val="20"/>
          <w:lang w:val="pt-BR"/>
        </w:rPr>
        <w:t>2</w:t>
      </w:r>
      <w:r w:rsidR="0072277B" w:rsidRPr="0065372A">
        <w:rPr>
          <w:b/>
          <w:bCs/>
          <w:sz w:val="20"/>
          <w:szCs w:val="20"/>
          <w:lang w:val="pt-BR"/>
        </w:rPr>
        <w:t xml:space="preserve">ª REUNIÃO </w:t>
      </w:r>
      <w:r w:rsidR="00A84C68" w:rsidRPr="0065372A">
        <w:rPr>
          <w:b/>
          <w:bCs/>
          <w:sz w:val="20"/>
          <w:szCs w:val="20"/>
          <w:lang w:val="pt-BR"/>
        </w:rPr>
        <w:t>EXTRA</w:t>
      </w:r>
      <w:r w:rsidR="0072277B" w:rsidRPr="0065372A">
        <w:rPr>
          <w:b/>
          <w:bCs/>
          <w:sz w:val="20"/>
          <w:szCs w:val="20"/>
          <w:lang w:val="pt-BR"/>
        </w:rPr>
        <w:t>ORDINÁRIA</w:t>
      </w:r>
      <w:r w:rsidR="0072277B" w:rsidRPr="0065372A">
        <w:rPr>
          <w:b/>
          <w:bCs/>
          <w:spacing w:val="-1"/>
          <w:sz w:val="20"/>
          <w:szCs w:val="20"/>
          <w:lang w:val="pt-BR"/>
        </w:rPr>
        <w:t xml:space="preserve"> – </w:t>
      </w:r>
      <w:r w:rsidR="0072277B" w:rsidRPr="0065372A">
        <w:rPr>
          <w:b/>
          <w:bCs/>
          <w:sz w:val="20"/>
          <w:szCs w:val="20"/>
          <w:lang w:val="pt-BR"/>
        </w:rPr>
        <w:t>2022CPFI-CAU/PR</w:t>
      </w:r>
    </w:p>
    <w:p w14:paraId="4DB66325" w14:textId="77777777" w:rsidR="0072277B" w:rsidRPr="0065372A" w:rsidRDefault="0072277B" w:rsidP="0027625F">
      <w:pPr>
        <w:autoSpaceDE/>
        <w:autoSpaceDN/>
        <w:ind w:right="6"/>
        <w:jc w:val="center"/>
        <w:rPr>
          <w:sz w:val="18"/>
          <w:szCs w:val="18"/>
          <w:lang w:val="pt-BR"/>
        </w:rPr>
      </w:pPr>
      <w:r w:rsidRPr="0065372A">
        <w:rPr>
          <w:sz w:val="18"/>
          <w:szCs w:val="18"/>
          <w:lang w:val="pt-BR"/>
        </w:rPr>
        <w:t xml:space="preserve">Modalidade </w:t>
      </w:r>
      <w:proofErr w:type="gramStart"/>
      <w:r w:rsidRPr="0065372A">
        <w:rPr>
          <w:sz w:val="18"/>
          <w:szCs w:val="18"/>
          <w:lang w:val="pt-BR"/>
        </w:rPr>
        <w:t>Presencial  -</w:t>
      </w:r>
      <w:proofErr w:type="gramEnd"/>
      <w:r w:rsidRPr="0065372A">
        <w:rPr>
          <w:sz w:val="18"/>
          <w:szCs w:val="18"/>
          <w:lang w:val="pt-BR"/>
        </w:rPr>
        <w:t xml:space="preserve"> </w:t>
      </w:r>
      <w:r w:rsidRPr="0065372A">
        <w:rPr>
          <w:b/>
          <w:sz w:val="18"/>
          <w:szCs w:val="18"/>
          <w:lang w:val="pt-BR"/>
        </w:rPr>
        <w:t>Folha de Votação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72277B" w:rsidRPr="0065372A" w14:paraId="089BCC4B" w14:textId="77777777" w:rsidTr="0072277B">
        <w:trPr>
          <w:trHeight w:val="230"/>
          <w:jc w:val="center"/>
        </w:trPr>
        <w:tc>
          <w:tcPr>
            <w:tcW w:w="182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9066951" w14:textId="77777777" w:rsidR="0072277B" w:rsidRPr="0065372A" w:rsidRDefault="0072277B" w:rsidP="002E6776">
            <w:pPr>
              <w:autoSpaceDE/>
              <w:autoSpaceDN/>
              <w:ind w:left="602"/>
              <w:jc w:val="both"/>
              <w:rPr>
                <w:b/>
                <w:sz w:val="18"/>
                <w:szCs w:val="18"/>
                <w:lang w:val="en-US"/>
              </w:rPr>
            </w:pPr>
            <w:r w:rsidRPr="0065372A">
              <w:rPr>
                <w:b/>
                <w:sz w:val="18"/>
                <w:szCs w:val="18"/>
                <w:lang w:val="en-US"/>
              </w:rPr>
              <w:t>Função</w:t>
            </w:r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6033154" w14:textId="77777777" w:rsidR="0072277B" w:rsidRPr="0065372A" w:rsidRDefault="0072277B" w:rsidP="002E6776">
            <w:pPr>
              <w:autoSpaceDE/>
              <w:autoSpaceDN/>
              <w:ind w:left="1271" w:right="1271"/>
              <w:jc w:val="both"/>
              <w:rPr>
                <w:b/>
                <w:sz w:val="18"/>
                <w:szCs w:val="18"/>
                <w:lang w:val="en-US"/>
              </w:rPr>
            </w:pPr>
            <w:r w:rsidRPr="0065372A">
              <w:rPr>
                <w:b/>
                <w:sz w:val="18"/>
                <w:szCs w:val="18"/>
                <w:lang w:val="en-US"/>
              </w:rPr>
              <w:t>Conselheiros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33882262" w14:textId="77777777" w:rsidR="0072277B" w:rsidRPr="0065372A" w:rsidRDefault="0072277B" w:rsidP="002E6776">
            <w:pPr>
              <w:autoSpaceDE/>
              <w:autoSpaceDN/>
              <w:ind w:left="1396" w:right="1392"/>
              <w:jc w:val="both"/>
              <w:rPr>
                <w:b/>
                <w:sz w:val="18"/>
                <w:szCs w:val="18"/>
                <w:lang w:val="en-US"/>
              </w:rPr>
            </w:pPr>
            <w:r w:rsidRPr="0065372A">
              <w:rPr>
                <w:b/>
                <w:sz w:val="18"/>
                <w:szCs w:val="18"/>
                <w:lang w:val="en-US"/>
              </w:rPr>
              <w:t>Votação</w:t>
            </w:r>
          </w:p>
        </w:tc>
      </w:tr>
      <w:tr w:rsidR="0072277B" w:rsidRPr="0065372A" w14:paraId="64CA4BA3" w14:textId="77777777" w:rsidTr="0072277B">
        <w:trPr>
          <w:trHeight w:val="230"/>
          <w:jc w:val="center"/>
        </w:trPr>
        <w:tc>
          <w:tcPr>
            <w:tcW w:w="1829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BF8FFAF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7A75BD61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11EF2628" w14:textId="77777777" w:rsidR="0072277B" w:rsidRPr="0065372A" w:rsidRDefault="0072277B" w:rsidP="002E6776">
            <w:pPr>
              <w:autoSpaceDE/>
              <w:autoSpaceDN/>
              <w:ind w:left="273"/>
              <w:jc w:val="both"/>
              <w:rPr>
                <w:b/>
                <w:sz w:val="18"/>
                <w:szCs w:val="18"/>
                <w:lang w:val="en-US"/>
              </w:rPr>
            </w:pPr>
            <w:r w:rsidRPr="0065372A">
              <w:rPr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1E978002" w14:textId="77777777" w:rsidR="0072277B" w:rsidRPr="0065372A" w:rsidRDefault="0072277B" w:rsidP="002E6776">
            <w:pPr>
              <w:autoSpaceDE/>
              <w:autoSpaceDN/>
              <w:ind w:left="290"/>
              <w:jc w:val="both"/>
              <w:rPr>
                <w:b/>
                <w:sz w:val="18"/>
                <w:szCs w:val="18"/>
                <w:lang w:val="en-US"/>
              </w:rPr>
            </w:pPr>
            <w:r w:rsidRPr="0065372A">
              <w:rPr>
                <w:b/>
                <w:sz w:val="18"/>
                <w:szCs w:val="18"/>
                <w:lang w:val="en-US"/>
              </w:rPr>
              <w:t>Não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35169E66" w14:textId="77777777" w:rsidR="0072277B" w:rsidRPr="0065372A" w:rsidRDefault="0072277B" w:rsidP="002E6776">
            <w:pPr>
              <w:autoSpaceDE/>
              <w:autoSpaceDN/>
              <w:ind w:left="214"/>
              <w:jc w:val="both"/>
              <w:rPr>
                <w:b/>
                <w:sz w:val="18"/>
                <w:szCs w:val="18"/>
                <w:lang w:val="en-US"/>
              </w:rPr>
            </w:pPr>
            <w:r w:rsidRPr="0065372A">
              <w:rPr>
                <w:b/>
                <w:sz w:val="18"/>
                <w:szCs w:val="18"/>
                <w:lang w:val="en-US"/>
              </w:rPr>
              <w:t>Abst.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3FC78872" w14:textId="77777777" w:rsidR="0072277B" w:rsidRPr="0065372A" w:rsidRDefault="0072277B" w:rsidP="002E6776">
            <w:pPr>
              <w:autoSpaceDE/>
              <w:autoSpaceDN/>
              <w:ind w:left="152"/>
              <w:jc w:val="both"/>
              <w:rPr>
                <w:b/>
                <w:sz w:val="18"/>
                <w:szCs w:val="18"/>
                <w:lang w:val="en-US"/>
              </w:rPr>
            </w:pPr>
            <w:r w:rsidRPr="0065372A">
              <w:rPr>
                <w:b/>
                <w:sz w:val="18"/>
                <w:szCs w:val="18"/>
                <w:lang w:val="en-US"/>
              </w:rPr>
              <w:t>Ausên.</w:t>
            </w:r>
          </w:p>
        </w:tc>
      </w:tr>
      <w:tr w:rsidR="0072277B" w:rsidRPr="0065372A" w14:paraId="29C501DC" w14:textId="77777777" w:rsidTr="0072277B">
        <w:trPr>
          <w:trHeight w:val="230"/>
          <w:jc w:val="center"/>
        </w:trPr>
        <w:tc>
          <w:tcPr>
            <w:tcW w:w="1829" w:type="dxa"/>
            <w:tcBorders>
              <w:top w:val="single" w:sz="6" w:space="0" w:color="000000"/>
              <w:bottom w:val="single" w:sz="4" w:space="0" w:color="000000"/>
            </w:tcBorders>
          </w:tcPr>
          <w:p w14:paraId="3FC49E55" w14:textId="77777777" w:rsidR="0072277B" w:rsidRPr="0065372A" w:rsidRDefault="0072277B" w:rsidP="002E6776">
            <w:pPr>
              <w:autoSpaceDE/>
              <w:autoSpaceDN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>Coordenador</w:t>
            </w:r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74FAEEDA" w14:textId="77777777" w:rsidR="0072277B" w:rsidRPr="0065372A" w:rsidRDefault="0072277B" w:rsidP="002E6776">
            <w:pPr>
              <w:autoSpaceDE/>
              <w:autoSpaceDN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>ConselheiroIdevall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AA2871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FDE4BA4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E08D58E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F56F8A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2277B" w:rsidRPr="0065372A" w14:paraId="071A0E63" w14:textId="77777777" w:rsidTr="0072277B">
        <w:trPr>
          <w:trHeight w:val="230"/>
          <w:jc w:val="center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 w14:paraId="05E5312A" w14:textId="77777777" w:rsidR="0072277B" w:rsidRPr="0065372A" w:rsidRDefault="0072277B" w:rsidP="002E6776">
            <w:pPr>
              <w:autoSpaceDE/>
              <w:autoSpaceDN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>Coord-Adjunto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449BBC60" w14:textId="77777777" w:rsidR="0072277B" w:rsidRPr="0065372A" w:rsidRDefault="0072277B" w:rsidP="002E6776">
            <w:pPr>
              <w:autoSpaceDE/>
              <w:autoSpaceDN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>Conselheiro Antonio Ricardo Sardo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96777C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7283E6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3ADCB4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31D089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 xml:space="preserve">       X</w:t>
            </w:r>
          </w:p>
        </w:tc>
      </w:tr>
      <w:tr w:rsidR="0072277B" w:rsidRPr="0065372A" w14:paraId="4D3B25C6" w14:textId="77777777" w:rsidTr="0072277B">
        <w:trPr>
          <w:trHeight w:val="230"/>
          <w:jc w:val="center"/>
        </w:trPr>
        <w:tc>
          <w:tcPr>
            <w:tcW w:w="1829" w:type="dxa"/>
            <w:tcBorders>
              <w:top w:val="single" w:sz="4" w:space="0" w:color="000000"/>
              <w:bottom w:val="single" w:sz="6" w:space="0" w:color="000000"/>
            </w:tcBorders>
          </w:tcPr>
          <w:p w14:paraId="0DA68DC3" w14:textId="77777777" w:rsidR="0072277B" w:rsidRPr="0065372A" w:rsidRDefault="0072277B" w:rsidP="002E6776">
            <w:pPr>
              <w:autoSpaceDE/>
              <w:autoSpaceDN/>
              <w:ind w:left="107"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>Membro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4999223E" w14:textId="77777777" w:rsidR="0072277B" w:rsidRPr="0065372A" w:rsidRDefault="0072277B" w:rsidP="002E6776">
            <w:pPr>
              <w:autoSpaceDE/>
              <w:autoSpaceDN/>
              <w:ind w:left="105"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>ConselheiroJeancarloVersetti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C38B67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C7B0F4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DC65DE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3CDEC6" w14:textId="77777777" w:rsidR="0072277B" w:rsidRPr="0065372A" w:rsidRDefault="0072277B" w:rsidP="002E6776">
            <w:pPr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2277B" w:rsidRPr="0065372A" w14:paraId="73875D15" w14:textId="77777777" w:rsidTr="009F7AC7">
        <w:trPr>
          <w:trHeight w:val="534"/>
          <w:jc w:val="center"/>
        </w:trPr>
        <w:tc>
          <w:tcPr>
            <w:tcW w:w="99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7C82DFA" w14:textId="77777777" w:rsidR="00020700" w:rsidRDefault="0072277B" w:rsidP="00020700">
            <w:pPr>
              <w:autoSpaceDE/>
              <w:autoSpaceDN/>
              <w:spacing w:after="120"/>
              <w:ind w:left="108"/>
              <w:jc w:val="both"/>
              <w:rPr>
                <w:b/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>Histórico</w:t>
            </w:r>
            <w:r w:rsidR="009C02A2" w:rsidRPr="0065372A">
              <w:rPr>
                <w:sz w:val="18"/>
                <w:szCs w:val="18"/>
                <w:lang w:val="en-US"/>
              </w:rPr>
              <w:t xml:space="preserve"> </w:t>
            </w:r>
            <w:r w:rsidRPr="0065372A">
              <w:rPr>
                <w:sz w:val="18"/>
                <w:szCs w:val="18"/>
                <w:lang w:val="en-US"/>
              </w:rPr>
              <w:t>da</w:t>
            </w:r>
            <w:r w:rsidR="009C02A2" w:rsidRPr="0065372A">
              <w:rPr>
                <w:sz w:val="18"/>
                <w:szCs w:val="18"/>
                <w:lang w:val="en-US"/>
              </w:rPr>
              <w:t xml:space="preserve"> </w:t>
            </w:r>
            <w:r w:rsidRPr="0065372A">
              <w:rPr>
                <w:sz w:val="18"/>
                <w:szCs w:val="18"/>
                <w:lang w:val="en-US"/>
              </w:rPr>
              <w:t>votação:</w:t>
            </w:r>
            <w:r w:rsidR="00EC1607" w:rsidRPr="0065372A">
              <w:rPr>
                <w:b/>
                <w:spacing w:val="-5"/>
                <w:sz w:val="18"/>
                <w:szCs w:val="18"/>
                <w:lang w:val="en-US"/>
              </w:rPr>
              <w:t xml:space="preserve"> 2</w:t>
            </w:r>
            <w:r w:rsidRPr="0065372A">
              <w:rPr>
                <w:b/>
                <w:sz w:val="18"/>
                <w:szCs w:val="18"/>
                <w:lang w:val="en-US"/>
              </w:rPr>
              <w:t xml:space="preserve">ª REUNIÃO </w:t>
            </w:r>
            <w:r w:rsidR="003D23AC" w:rsidRPr="0065372A">
              <w:rPr>
                <w:b/>
                <w:sz w:val="18"/>
                <w:szCs w:val="18"/>
                <w:lang w:val="en-US"/>
              </w:rPr>
              <w:t>EXTRA</w:t>
            </w:r>
            <w:r w:rsidRPr="0065372A">
              <w:rPr>
                <w:b/>
                <w:sz w:val="18"/>
                <w:szCs w:val="18"/>
                <w:lang w:val="en-US"/>
              </w:rPr>
              <w:t xml:space="preserve">ORDINÁRIA 2022 CPFI-CAU/PR   </w:t>
            </w:r>
          </w:p>
          <w:p w14:paraId="71250095" w14:textId="41AF93DC" w:rsidR="0072277B" w:rsidRPr="0065372A" w:rsidRDefault="0072277B" w:rsidP="00020700">
            <w:pPr>
              <w:autoSpaceDE/>
              <w:autoSpaceDN/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 xml:space="preserve">Data: </w:t>
            </w:r>
            <w:r w:rsidR="00EC1607" w:rsidRPr="0065372A">
              <w:rPr>
                <w:b/>
                <w:spacing w:val="-3"/>
                <w:sz w:val="18"/>
                <w:szCs w:val="18"/>
                <w:lang w:val="en-US"/>
              </w:rPr>
              <w:t>23/05/2022</w:t>
            </w:r>
          </w:p>
          <w:p w14:paraId="3394444C" w14:textId="728B7F9C" w:rsidR="0072277B" w:rsidRPr="0065372A" w:rsidRDefault="0072277B" w:rsidP="00020700">
            <w:pPr>
              <w:autoSpaceDE/>
              <w:autoSpaceDN/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>Matéria</w:t>
            </w:r>
            <w:r w:rsidR="009C02A2" w:rsidRPr="0065372A">
              <w:rPr>
                <w:sz w:val="18"/>
                <w:szCs w:val="18"/>
                <w:lang w:val="en-US"/>
              </w:rPr>
              <w:t xml:space="preserve"> </w:t>
            </w:r>
            <w:r w:rsidRPr="0065372A">
              <w:rPr>
                <w:sz w:val="18"/>
                <w:szCs w:val="18"/>
                <w:lang w:val="en-US"/>
              </w:rPr>
              <w:t>em</w:t>
            </w:r>
            <w:r w:rsidR="009C02A2" w:rsidRPr="0065372A">
              <w:rPr>
                <w:sz w:val="18"/>
                <w:szCs w:val="18"/>
                <w:lang w:val="en-US"/>
              </w:rPr>
              <w:t xml:space="preserve"> </w:t>
            </w:r>
            <w:r w:rsidRPr="0065372A">
              <w:rPr>
                <w:sz w:val="18"/>
                <w:szCs w:val="18"/>
                <w:lang w:val="en-US"/>
              </w:rPr>
              <w:t xml:space="preserve">votação: </w:t>
            </w:r>
            <w:r w:rsidRPr="0065372A">
              <w:rPr>
                <w:b/>
                <w:bCs/>
                <w:sz w:val="18"/>
                <w:szCs w:val="18"/>
                <w:lang w:val="en-US"/>
              </w:rPr>
              <w:t xml:space="preserve">PROPOSTA DE DELIBERAÇÃO Nº </w:t>
            </w:r>
            <w:r w:rsidR="00EC1607" w:rsidRPr="0065372A">
              <w:rPr>
                <w:b/>
                <w:bCs/>
                <w:sz w:val="18"/>
                <w:szCs w:val="18"/>
                <w:lang w:val="en-US"/>
              </w:rPr>
              <w:t>012</w:t>
            </w:r>
            <w:r w:rsidR="00C359F9" w:rsidRPr="0065372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5372A">
              <w:rPr>
                <w:b/>
                <w:bCs/>
                <w:sz w:val="18"/>
                <w:szCs w:val="18"/>
                <w:lang w:val="en-US"/>
              </w:rPr>
              <w:t xml:space="preserve">CPFI – </w:t>
            </w:r>
            <w:r w:rsidR="00EC1607" w:rsidRPr="0065372A">
              <w:rPr>
                <w:b/>
                <w:bCs/>
                <w:sz w:val="18"/>
                <w:szCs w:val="18"/>
                <w:lang w:val="en-US"/>
              </w:rPr>
              <w:t xml:space="preserve">APROVAÇÃO </w:t>
            </w:r>
            <w:r w:rsidR="00C359F9" w:rsidRPr="0065372A">
              <w:rPr>
                <w:b/>
                <w:bCs/>
                <w:sz w:val="18"/>
                <w:szCs w:val="18"/>
                <w:lang w:val="en-US"/>
              </w:rPr>
              <w:t xml:space="preserve">DA </w:t>
            </w:r>
            <w:r w:rsidR="00EC1607" w:rsidRPr="0065372A">
              <w:rPr>
                <w:b/>
                <w:bCs/>
                <w:sz w:val="18"/>
                <w:szCs w:val="18"/>
                <w:lang w:val="en-US"/>
              </w:rPr>
              <w:t xml:space="preserve">PRESTAÇÃO </w:t>
            </w:r>
            <w:r w:rsidR="00C359F9" w:rsidRPr="0065372A">
              <w:rPr>
                <w:b/>
                <w:bCs/>
                <w:sz w:val="18"/>
                <w:szCs w:val="18"/>
                <w:lang w:val="en-US"/>
              </w:rPr>
              <w:t xml:space="preserve">DE </w:t>
            </w:r>
            <w:r w:rsidR="00EC1607" w:rsidRPr="0065372A">
              <w:rPr>
                <w:b/>
                <w:bCs/>
                <w:sz w:val="18"/>
                <w:szCs w:val="18"/>
                <w:lang w:val="en-US"/>
              </w:rPr>
              <w:t xml:space="preserve">CONTAS EDITAL 01/2012 IAB/PR – PROJETO VILANOVA ARTIGAS </w:t>
            </w:r>
            <w:r w:rsidRPr="0065372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A0CEE4D" w14:textId="0BB64C04" w:rsidR="0072277B" w:rsidRPr="0065372A" w:rsidRDefault="0072277B" w:rsidP="00020700">
            <w:pPr>
              <w:autoSpaceDE/>
              <w:autoSpaceDN/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bCs/>
                <w:sz w:val="18"/>
                <w:szCs w:val="18"/>
                <w:lang w:val="en-US"/>
              </w:rPr>
              <w:t>Resultado da votação:</w:t>
            </w:r>
            <w:r w:rsidRPr="0065372A">
              <w:rPr>
                <w:b/>
                <w:sz w:val="18"/>
                <w:szCs w:val="18"/>
                <w:lang w:val="en-US"/>
              </w:rPr>
              <w:t xml:space="preserve"> Sim </w:t>
            </w:r>
            <w:r w:rsidRPr="0065372A">
              <w:rPr>
                <w:sz w:val="18"/>
                <w:szCs w:val="18"/>
                <w:lang w:val="en-US"/>
              </w:rPr>
              <w:t>(</w:t>
            </w:r>
            <w:r w:rsidR="00020700">
              <w:rPr>
                <w:sz w:val="18"/>
                <w:szCs w:val="18"/>
                <w:lang w:val="en-US"/>
              </w:rPr>
              <w:t>2</w:t>
            </w:r>
            <w:r w:rsidRPr="0065372A">
              <w:rPr>
                <w:sz w:val="18"/>
                <w:szCs w:val="18"/>
                <w:lang w:val="en-US"/>
              </w:rPr>
              <w:t xml:space="preserve">), </w:t>
            </w:r>
            <w:r w:rsidRPr="0065372A">
              <w:rPr>
                <w:b/>
                <w:sz w:val="18"/>
                <w:szCs w:val="18"/>
                <w:lang w:val="en-US"/>
              </w:rPr>
              <w:t>Nã</w:t>
            </w:r>
            <w:r w:rsidR="001A31DF" w:rsidRPr="0065372A">
              <w:rPr>
                <w:b/>
                <w:sz w:val="18"/>
                <w:szCs w:val="18"/>
                <w:lang w:val="en-US"/>
              </w:rPr>
              <w:t>o</w:t>
            </w:r>
            <w:r w:rsidR="00A75CB2" w:rsidRPr="0065372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5372A">
              <w:rPr>
                <w:sz w:val="18"/>
                <w:szCs w:val="18"/>
                <w:lang w:val="en-US"/>
              </w:rPr>
              <w:t xml:space="preserve">(0), </w:t>
            </w:r>
            <w:r w:rsidRPr="0065372A">
              <w:rPr>
                <w:b/>
                <w:sz w:val="18"/>
                <w:szCs w:val="18"/>
                <w:lang w:val="en-US"/>
              </w:rPr>
              <w:t>Abstenção</w:t>
            </w:r>
            <w:r w:rsidR="00EC6CC4" w:rsidRPr="0065372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5372A">
              <w:rPr>
                <w:sz w:val="18"/>
                <w:szCs w:val="18"/>
                <w:lang w:val="en-US"/>
              </w:rPr>
              <w:t xml:space="preserve">(0), </w:t>
            </w:r>
            <w:r w:rsidRPr="0065372A">
              <w:rPr>
                <w:b/>
                <w:sz w:val="18"/>
                <w:szCs w:val="18"/>
                <w:lang w:val="en-US"/>
              </w:rPr>
              <w:t>Ausência</w:t>
            </w:r>
            <w:r w:rsidR="00EC6CC4" w:rsidRPr="0065372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5372A">
              <w:rPr>
                <w:sz w:val="18"/>
                <w:szCs w:val="18"/>
                <w:lang w:val="en-US"/>
              </w:rPr>
              <w:t>( )</w:t>
            </w:r>
            <w:proofErr w:type="gramEnd"/>
            <w:r w:rsidRPr="0065372A">
              <w:rPr>
                <w:sz w:val="18"/>
                <w:szCs w:val="18"/>
                <w:lang w:val="en-US"/>
              </w:rPr>
              <w:t xml:space="preserve"> de </w:t>
            </w:r>
            <w:r w:rsidRPr="0065372A">
              <w:rPr>
                <w:b/>
                <w:sz w:val="18"/>
                <w:szCs w:val="18"/>
                <w:lang w:val="en-US"/>
              </w:rPr>
              <w:t xml:space="preserve">Total de </w:t>
            </w:r>
            <w:r w:rsidR="00A64C30" w:rsidRPr="0065372A">
              <w:rPr>
                <w:b/>
                <w:sz w:val="18"/>
                <w:szCs w:val="18"/>
                <w:lang w:val="en-US"/>
              </w:rPr>
              <w:t>0</w:t>
            </w:r>
            <w:r w:rsidR="00020700">
              <w:rPr>
                <w:b/>
                <w:sz w:val="18"/>
                <w:szCs w:val="18"/>
                <w:lang w:val="en-US"/>
              </w:rPr>
              <w:t xml:space="preserve">2 (dois) </w:t>
            </w:r>
            <w:r w:rsidRPr="0065372A">
              <w:rPr>
                <w:b/>
                <w:bCs/>
                <w:sz w:val="18"/>
                <w:szCs w:val="18"/>
                <w:lang w:val="en-US"/>
              </w:rPr>
              <w:t>Conselheiros</w:t>
            </w:r>
          </w:p>
          <w:p w14:paraId="3D1EDFE2" w14:textId="77777777" w:rsidR="0072277B" w:rsidRPr="0065372A" w:rsidRDefault="0072277B" w:rsidP="00020700">
            <w:pPr>
              <w:autoSpaceDE/>
              <w:autoSpaceDN/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>Ocorrências: Nenhuma</w:t>
            </w:r>
          </w:p>
          <w:p w14:paraId="647FA7C2" w14:textId="4E908B2A" w:rsidR="0072277B" w:rsidRPr="0065372A" w:rsidRDefault="0072277B" w:rsidP="00020700">
            <w:pPr>
              <w:autoSpaceDE/>
              <w:autoSpaceDN/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 xml:space="preserve">Observações: </w:t>
            </w:r>
            <w:r w:rsidR="00484D0D" w:rsidRPr="0065372A">
              <w:rPr>
                <w:sz w:val="18"/>
                <w:szCs w:val="18"/>
                <w:lang w:val="en-US"/>
              </w:rPr>
              <w:t>Nenhuma</w:t>
            </w:r>
          </w:p>
          <w:p w14:paraId="1053A255" w14:textId="7D13283A" w:rsidR="0072277B" w:rsidRPr="0065372A" w:rsidRDefault="0072277B" w:rsidP="00020700">
            <w:pPr>
              <w:autoSpaceDE/>
              <w:autoSpaceDN/>
              <w:spacing w:after="120"/>
              <w:ind w:left="108"/>
              <w:jc w:val="both"/>
              <w:rPr>
                <w:sz w:val="18"/>
                <w:szCs w:val="18"/>
                <w:lang w:val="en-US"/>
              </w:rPr>
            </w:pPr>
            <w:r w:rsidRPr="0065372A">
              <w:rPr>
                <w:sz w:val="18"/>
                <w:szCs w:val="18"/>
                <w:lang w:val="en-US"/>
              </w:rPr>
              <w:t>Assistente:</w:t>
            </w:r>
            <w:r w:rsidRPr="0065372A">
              <w:rPr>
                <w:spacing w:val="-2"/>
                <w:sz w:val="18"/>
                <w:szCs w:val="18"/>
                <w:lang w:val="en-US"/>
              </w:rPr>
              <w:t xml:space="preserve"> Patricia Ostroski Maia |</w:t>
            </w:r>
            <w:r w:rsidRPr="0065372A">
              <w:rPr>
                <w:sz w:val="18"/>
                <w:szCs w:val="18"/>
                <w:lang w:val="en-US"/>
              </w:rPr>
              <w:t>Condução</w:t>
            </w:r>
            <w:r w:rsidR="00A64C30" w:rsidRPr="0065372A">
              <w:rPr>
                <w:sz w:val="18"/>
                <w:szCs w:val="18"/>
                <w:lang w:val="en-US"/>
              </w:rPr>
              <w:t xml:space="preserve"> dos </w:t>
            </w:r>
            <w:r w:rsidRPr="0065372A">
              <w:rPr>
                <w:sz w:val="18"/>
                <w:szCs w:val="18"/>
                <w:lang w:val="en-US"/>
              </w:rPr>
              <w:t>Trabalhos</w:t>
            </w:r>
            <w:r w:rsidRPr="0065372A">
              <w:rPr>
                <w:spacing w:val="-4"/>
                <w:sz w:val="18"/>
                <w:szCs w:val="18"/>
                <w:lang w:val="en-US"/>
              </w:rPr>
              <w:t>: Coordenador</w:t>
            </w:r>
            <w:r w:rsidR="00A64C30" w:rsidRPr="0065372A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65372A">
              <w:rPr>
                <w:sz w:val="18"/>
                <w:szCs w:val="18"/>
                <w:lang w:val="en-US"/>
              </w:rPr>
              <w:t>Idevall dos Santos Filho</w:t>
            </w:r>
          </w:p>
        </w:tc>
      </w:tr>
      <w:bookmarkEnd w:id="0"/>
    </w:tbl>
    <w:p w14:paraId="2B0AF667" w14:textId="77777777" w:rsidR="009F7AC7" w:rsidRPr="0065372A" w:rsidRDefault="009F7AC7" w:rsidP="0027625F">
      <w:pPr>
        <w:rPr>
          <w:sz w:val="18"/>
          <w:szCs w:val="18"/>
        </w:rPr>
      </w:pPr>
    </w:p>
    <w:sectPr w:rsidR="009F7AC7" w:rsidRPr="0065372A" w:rsidSect="001C2C3C">
      <w:type w:val="continuous"/>
      <w:pgSz w:w="11910" w:h="16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439F" w14:textId="77777777" w:rsidR="001B2554" w:rsidRDefault="001B2554" w:rsidP="00542576">
      <w:r>
        <w:separator/>
      </w:r>
    </w:p>
  </w:endnote>
  <w:endnote w:type="continuationSeparator" w:id="0">
    <w:p w14:paraId="50D9FF61" w14:textId="77777777" w:rsidR="001B2554" w:rsidRDefault="001B2554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06D8" w14:textId="77777777" w:rsidR="002D0A45" w:rsidRDefault="002D0A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04FD4326" w:rsidR="00542576" w:rsidRPr="00174D3B" w:rsidRDefault="00D32F7E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>E 0</w:t>
    </w:r>
    <w:r w:rsidR="002D0A45">
      <w:rPr>
        <w:rFonts w:asciiTheme="minorHAnsi" w:hAnsiTheme="minorHAnsi" w:cstheme="minorHAnsi"/>
        <w:b/>
        <w:color w:val="006666"/>
        <w:sz w:val="12"/>
        <w:szCs w:val="12"/>
      </w:rPr>
      <w:t>2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 xml:space="preserve">/2022 </w:t>
    </w:r>
    <w:r>
      <w:rPr>
        <w:rFonts w:asciiTheme="minorHAnsi" w:hAnsiTheme="minorHAnsi" w:cstheme="minorHAnsi"/>
        <w:b/>
        <w:color w:val="006666"/>
        <w:sz w:val="12"/>
        <w:szCs w:val="12"/>
      </w:rPr>
      <w:t xml:space="preserve">CPFI-CAU/PR -  </w:t>
    </w:r>
    <w:r w:rsidR="00113E09">
      <w:rPr>
        <w:rFonts w:asciiTheme="minorHAnsi" w:hAnsiTheme="minorHAnsi" w:cstheme="minorHAnsi"/>
        <w:b/>
        <w:color w:val="006666"/>
        <w:sz w:val="12"/>
        <w:szCs w:val="12"/>
      </w:rPr>
      <w:t>23.05.2022</w:t>
    </w:r>
    <w:r w:rsidR="00AA101E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D618" w14:textId="77777777" w:rsidR="002D0A45" w:rsidRDefault="002D0A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5863" w14:textId="77777777" w:rsidR="001B2554" w:rsidRDefault="001B2554" w:rsidP="00542576">
      <w:r>
        <w:separator/>
      </w:r>
    </w:p>
  </w:footnote>
  <w:footnote w:type="continuationSeparator" w:id="0">
    <w:p w14:paraId="31FAA514" w14:textId="77777777" w:rsidR="001B2554" w:rsidRDefault="001B2554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F83F" w14:textId="77777777" w:rsidR="002D0A45" w:rsidRDefault="002D0A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77777777" w:rsidR="00542576" w:rsidRDefault="00542576" w:rsidP="0054257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3C002ED" wp14:editId="283D24AD">
          <wp:extent cx="5882001" cy="63817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603" cy="639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2020" w14:textId="77777777" w:rsidR="002D0A45" w:rsidRDefault="002D0A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40426A78"/>
    <w:multiLevelType w:val="hybridMultilevel"/>
    <w:tmpl w:val="E2F8F2D0"/>
    <w:lvl w:ilvl="0" w:tplc="E6AA89FA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1072198286">
    <w:abstractNumId w:val="3"/>
  </w:num>
  <w:num w:numId="2" w16cid:durableId="101808964">
    <w:abstractNumId w:val="0"/>
  </w:num>
  <w:num w:numId="3" w16cid:durableId="1591309348">
    <w:abstractNumId w:val="1"/>
  </w:num>
  <w:num w:numId="4" w16cid:durableId="26712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D1C"/>
    <w:rsid w:val="0000351A"/>
    <w:rsid w:val="00005A0F"/>
    <w:rsid w:val="000062FF"/>
    <w:rsid w:val="000074D2"/>
    <w:rsid w:val="00011008"/>
    <w:rsid w:val="0001184C"/>
    <w:rsid w:val="000119A1"/>
    <w:rsid w:val="0001373E"/>
    <w:rsid w:val="00013D91"/>
    <w:rsid w:val="000171DB"/>
    <w:rsid w:val="00020700"/>
    <w:rsid w:val="00024C3D"/>
    <w:rsid w:val="000256B0"/>
    <w:rsid w:val="00025A41"/>
    <w:rsid w:val="00030785"/>
    <w:rsid w:val="00033B13"/>
    <w:rsid w:val="000346F4"/>
    <w:rsid w:val="00036914"/>
    <w:rsid w:val="00037E1A"/>
    <w:rsid w:val="00043C0F"/>
    <w:rsid w:val="000466CF"/>
    <w:rsid w:val="00047829"/>
    <w:rsid w:val="00052D14"/>
    <w:rsid w:val="00056F57"/>
    <w:rsid w:val="000662E8"/>
    <w:rsid w:val="00066F57"/>
    <w:rsid w:val="000677D0"/>
    <w:rsid w:val="00074542"/>
    <w:rsid w:val="00075875"/>
    <w:rsid w:val="00076E47"/>
    <w:rsid w:val="00077C30"/>
    <w:rsid w:val="00080FB1"/>
    <w:rsid w:val="00083C87"/>
    <w:rsid w:val="00084106"/>
    <w:rsid w:val="00090518"/>
    <w:rsid w:val="000B2882"/>
    <w:rsid w:val="000B4266"/>
    <w:rsid w:val="000B54E8"/>
    <w:rsid w:val="000B647B"/>
    <w:rsid w:val="000C38C6"/>
    <w:rsid w:val="000C61D7"/>
    <w:rsid w:val="000E184C"/>
    <w:rsid w:val="000E2998"/>
    <w:rsid w:val="000E3FB5"/>
    <w:rsid w:val="000E44E1"/>
    <w:rsid w:val="000E526D"/>
    <w:rsid w:val="000F05D5"/>
    <w:rsid w:val="000F071D"/>
    <w:rsid w:val="001039AA"/>
    <w:rsid w:val="00107708"/>
    <w:rsid w:val="00107AAB"/>
    <w:rsid w:val="00113E09"/>
    <w:rsid w:val="001174EB"/>
    <w:rsid w:val="001203E6"/>
    <w:rsid w:val="00130FF4"/>
    <w:rsid w:val="0013318E"/>
    <w:rsid w:val="00133B99"/>
    <w:rsid w:val="00134549"/>
    <w:rsid w:val="00135666"/>
    <w:rsid w:val="00140A72"/>
    <w:rsid w:val="00142B95"/>
    <w:rsid w:val="00144D58"/>
    <w:rsid w:val="00146942"/>
    <w:rsid w:val="001504E9"/>
    <w:rsid w:val="0015093A"/>
    <w:rsid w:val="00151152"/>
    <w:rsid w:val="00155CCB"/>
    <w:rsid w:val="00157463"/>
    <w:rsid w:val="00160A84"/>
    <w:rsid w:val="00162F7B"/>
    <w:rsid w:val="00170A6A"/>
    <w:rsid w:val="001745EE"/>
    <w:rsid w:val="00174D3B"/>
    <w:rsid w:val="00182047"/>
    <w:rsid w:val="00185521"/>
    <w:rsid w:val="0019047E"/>
    <w:rsid w:val="00194860"/>
    <w:rsid w:val="0019649F"/>
    <w:rsid w:val="00197DDE"/>
    <w:rsid w:val="001A0602"/>
    <w:rsid w:val="001A31DF"/>
    <w:rsid w:val="001A3238"/>
    <w:rsid w:val="001A44BB"/>
    <w:rsid w:val="001B2554"/>
    <w:rsid w:val="001B6D7D"/>
    <w:rsid w:val="001C2C3C"/>
    <w:rsid w:val="001D10BC"/>
    <w:rsid w:val="001D3ADA"/>
    <w:rsid w:val="001E10CD"/>
    <w:rsid w:val="001E34BC"/>
    <w:rsid w:val="001E37D4"/>
    <w:rsid w:val="001F23CA"/>
    <w:rsid w:val="001F5041"/>
    <w:rsid w:val="001F53CE"/>
    <w:rsid w:val="00202A17"/>
    <w:rsid w:val="00204BDC"/>
    <w:rsid w:val="00205C83"/>
    <w:rsid w:val="00212CC6"/>
    <w:rsid w:val="002145AB"/>
    <w:rsid w:val="002145BB"/>
    <w:rsid w:val="0021556A"/>
    <w:rsid w:val="00220D11"/>
    <w:rsid w:val="00222570"/>
    <w:rsid w:val="00223C13"/>
    <w:rsid w:val="00231424"/>
    <w:rsid w:val="002323D6"/>
    <w:rsid w:val="00235E70"/>
    <w:rsid w:val="00240225"/>
    <w:rsid w:val="00241D3C"/>
    <w:rsid w:val="00243154"/>
    <w:rsid w:val="00244986"/>
    <w:rsid w:val="00246C0B"/>
    <w:rsid w:val="00250D17"/>
    <w:rsid w:val="0025360D"/>
    <w:rsid w:val="00254569"/>
    <w:rsid w:val="002575FF"/>
    <w:rsid w:val="00260D2C"/>
    <w:rsid w:val="0026179C"/>
    <w:rsid w:val="00261B47"/>
    <w:rsid w:val="00267849"/>
    <w:rsid w:val="0027060A"/>
    <w:rsid w:val="0027625F"/>
    <w:rsid w:val="002830AC"/>
    <w:rsid w:val="00283A0C"/>
    <w:rsid w:val="0028609E"/>
    <w:rsid w:val="00286CA2"/>
    <w:rsid w:val="002928B4"/>
    <w:rsid w:val="00292988"/>
    <w:rsid w:val="00293094"/>
    <w:rsid w:val="00293F9E"/>
    <w:rsid w:val="00296012"/>
    <w:rsid w:val="0029709A"/>
    <w:rsid w:val="002A10AE"/>
    <w:rsid w:val="002A29BB"/>
    <w:rsid w:val="002A33A4"/>
    <w:rsid w:val="002A4085"/>
    <w:rsid w:val="002A6DE9"/>
    <w:rsid w:val="002B16B2"/>
    <w:rsid w:val="002B3874"/>
    <w:rsid w:val="002C4308"/>
    <w:rsid w:val="002D0A45"/>
    <w:rsid w:val="002D2BC2"/>
    <w:rsid w:val="002D4592"/>
    <w:rsid w:val="002D4819"/>
    <w:rsid w:val="002E0E16"/>
    <w:rsid w:val="002E6776"/>
    <w:rsid w:val="002F07A7"/>
    <w:rsid w:val="002F280A"/>
    <w:rsid w:val="002F3CC5"/>
    <w:rsid w:val="002F5568"/>
    <w:rsid w:val="00305FBF"/>
    <w:rsid w:val="003061F4"/>
    <w:rsid w:val="0031222D"/>
    <w:rsid w:val="003135F8"/>
    <w:rsid w:val="00321A45"/>
    <w:rsid w:val="003256BA"/>
    <w:rsid w:val="00327700"/>
    <w:rsid w:val="003326FA"/>
    <w:rsid w:val="00332E06"/>
    <w:rsid w:val="00332E91"/>
    <w:rsid w:val="00333A2F"/>
    <w:rsid w:val="00334C22"/>
    <w:rsid w:val="003362DA"/>
    <w:rsid w:val="00341F20"/>
    <w:rsid w:val="003424C2"/>
    <w:rsid w:val="00347E31"/>
    <w:rsid w:val="00350F7B"/>
    <w:rsid w:val="00353C3D"/>
    <w:rsid w:val="00354C8D"/>
    <w:rsid w:val="003609F7"/>
    <w:rsid w:val="00362902"/>
    <w:rsid w:val="003660E5"/>
    <w:rsid w:val="00366565"/>
    <w:rsid w:val="00370CDE"/>
    <w:rsid w:val="00373EA8"/>
    <w:rsid w:val="00376078"/>
    <w:rsid w:val="0038755E"/>
    <w:rsid w:val="00391ABD"/>
    <w:rsid w:val="00395148"/>
    <w:rsid w:val="00396561"/>
    <w:rsid w:val="003970F8"/>
    <w:rsid w:val="003A041B"/>
    <w:rsid w:val="003A23FB"/>
    <w:rsid w:val="003B1200"/>
    <w:rsid w:val="003D1AD9"/>
    <w:rsid w:val="003D23AC"/>
    <w:rsid w:val="003D470A"/>
    <w:rsid w:val="003E3F7F"/>
    <w:rsid w:val="003F1F40"/>
    <w:rsid w:val="003F6679"/>
    <w:rsid w:val="003F72B9"/>
    <w:rsid w:val="0040001C"/>
    <w:rsid w:val="00400C65"/>
    <w:rsid w:val="004026FD"/>
    <w:rsid w:val="00407708"/>
    <w:rsid w:val="004079A4"/>
    <w:rsid w:val="00413496"/>
    <w:rsid w:val="00413CE4"/>
    <w:rsid w:val="00415C19"/>
    <w:rsid w:val="00440BC3"/>
    <w:rsid w:val="00442B52"/>
    <w:rsid w:val="00443ABB"/>
    <w:rsid w:val="0045296E"/>
    <w:rsid w:val="00462ED9"/>
    <w:rsid w:val="004668E6"/>
    <w:rsid w:val="00480C02"/>
    <w:rsid w:val="00482AC3"/>
    <w:rsid w:val="00482AF4"/>
    <w:rsid w:val="00484D0D"/>
    <w:rsid w:val="004862F1"/>
    <w:rsid w:val="00487B71"/>
    <w:rsid w:val="00492633"/>
    <w:rsid w:val="00495B25"/>
    <w:rsid w:val="004A5663"/>
    <w:rsid w:val="004A57D0"/>
    <w:rsid w:val="004A6DF7"/>
    <w:rsid w:val="004B65E3"/>
    <w:rsid w:val="004B75AD"/>
    <w:rsid w:val="004C3F57"/>
    <w:rsid w:val="004C4C8C"/>
    <w:rsid w:val="004D14AB"/>
    <w:rsid w:val="004D545C"/>
    <w:rsid w:val="004E4FED"/>
    <w:rsid w:val="004F0937"/>
    <w:rsid w:val="004F0B63"/>
    <w:rsid w:val="004F47DC"/>
    <w:rsid w:val="004F67A3"/>
    <w:rsid w:val="0050646A"/>
    <w:rsid w:val="00506F8C"/>
    <w:rsid w:val="005112F1"/>
    <w:rsid w:val="005154A4"/>
    <w:rsid w:val="00515526"/>
    <w:rsid w:val="005172B6"/>
    <w:rsid w:val="00523F6E"/>
    <w:rsid w:val="00524E54"/>
    <w:rsid w:val="0052680B"/>
    <w:rsid w:val="005354DE"/>
    <w:rsid w:val="00535E6A"/>
    <w:rsid w:val="00537092"/>
    <w:rsid w:val="00537F92"/>
    <w:rsid w:val="00542576"/>
    <w:rsid w:val="0054281A"/>
    <w:rsid w:val="005538DF"/>
    <w:rsid w:val="00554438"/>
    <w:rsid w:val="00555BE7"/>
    <w:rsid w:val="0056214D"/>
    <w:rsid w:val="00567B40"/>
    <w:rsid w:val="005772A7"/>
    <w:rsid w:val="0058131D"/>
    <w:rsid w:val="0058516F"/>
    <w:rsid w:val="0058643C"/>
    <w:rsid w:val="00591601"/>
    <w:rsid w:val="00593BFE"/>
    <w:rsid w:val="0059411E"/>
    <w:rsid w:val="00596D19"/>
    <w:rsid w:val="005A6764"/>
    <w:rsid w:val="005B0233"/>
    <w:rsid w:val="005B30A7"/>
    <w:rsid w:val="005C12EE"/>
    <w:rsid w:val="005C13AE"/>
    <w:rsid w:val="005C1840"/>
    <w:rsid w:val="005C5B2F"/>
    <w:rsid w:val="005D073E"/>
    <w:rsid w:val="005E2E20"/>
    <w:rsid w:val="005F135E"/>
    <w:rsid w:val="005F15FE"/>
    <w:rsid w:val="005F4510"/>
    <w:rsid w:val="006001C7"/>
    <w:rsid w:val="006020F4"/>
    <w:rsid w:val="00613697"/>
    <w:rsid w:val="00614758"/>
    <w:rsid w:val="00614864"/>
    <w:rsid w:val="006206FE"/>
    <w:rsid w:val="00621962"/>
    <w:rsid w:val="006233D0"/>
    <w:rsid w:val="00623949"/>
    <w:rsid w:val="00625F60"/>
    <w:rsid w:val="00632DF1"/>
    <w:rsid w:val="00635FB3"/>
    <w:rsid w:val="006436EC"/>
    <w:rsid w:val="00650535"/>
    <w:rsid w:val="00652E8E"/>
    <w:rsid w:val="0065372A"/>
    <w:rsid w:val="00653ADB"/>
    <w:rsid w:val="00653D8C"/>
    <w:rsid w:val="00657298"/>
    <w:rsid w:val="006607F5"/>
    <w:rsid w:val="00660ED7"/>
    <w:rsid w:val="006636D4"/>
    <w:rsid w:val="006731B6"/>
    <w:rsid w:val="00675FB2"/>
    <w:rsid w:val="00681763"/>
    <w:rsid w:val="00681AFA"/>
    <w:rsid w:val="00685E16"/>
    <w:rsid w:val="00694D57"/>
    <w:rsid w:val="006B08DB"/>
    <w:rsid w:val="006B5417"/>
    <w:rsid w:val="006B5500"/>
    <w:rsid w:val="006B6612"/>
    <w:rsid w:val="006C04D8"/>
    <w:rsid w:val="006C2686"/>
    <w:rsid w:val="006C53D6"/>
    <w:rsid w:val="006C6A5F"/>
    <w:rsid w:val="006C7567"/>
    <w:rsid w:val="006D009A"/>
    <w:rsid w:val="006D04C2"/>
    <w:rsid w:val="006D0989"/>
    <w:rsid w:val="006D0EED"/>
    <w:rsid w:val="006D2B48"/>
    <w:rsid w:val="006D5D0E"/>
    <w:rsid w:val="006E139B"/>
    <w:rsid w:val="006E189C"/>
    <w:rsid w:val="006E420D"/>
    <w:rsid w:val="006E45F2"/>
    <w:rsid w:val="006F0349"/>
    <w:rsid w:val="006F4E10"/>
    <w:rsid w:val="0070084F"/>
    <w:rsid w:val="00702839"/>
    <w:rsid w:val="00702C8E"/>
    <w:rsid w:val="00705430"/>
    <w:rsid w:val="00707D8E"/>
    <w:rsid w:val="00714DF8"/>
    <w:rsid w:val="00716EBC"/>
    <w:rsid w:val="0072277B"/>
    <w:rsid w:val="0073126D"/>
    <w:rsid w:val="00731548"/>
    <w:rsid w:val="00732493"/>
    <w:rsid w:val="00734520"/>
    <w:rsid w:val="00741D8D"/>
    <w:rsid w:val="00742328"/>
    <w:rsid w:val="00742638"/>
    <w:rsid w:val="00746750"/>
    <w:rsid w:val="00747336"/>
    <w:rsid w:val="007544D7"/>
    <w:rsid w:val="00760683"/>
    <w:rsid w:val="00761BEC"/>
    <w:rsid w:val="0076771E"/>
    <w:rsid w:val="00772C0E"/>
    <w:rsid w:val="00773744"/>
    <w:rsid w:val="00773DE0"/>
    <w:rsid w:val="00775ABF"/>
    <w:rsid w:val="00780AA5"/>
    <w:rsid w:val="00780CA9"/>
    <w:rsid w:val="007818D1"/>
    <w:rsid w:val="0078282C"/>
    <w:rsid w:val="00785C15"/>
    <w:rsid w:val="007954B1"/>
    <w:rsid w:val="007955F6"/>
    <w:rsid w:val="00796A02"/>
    <w:rsid w:val="007A0C1F"/>
    <w:rsid w:val="007A3618"/>
    <w:rsid w:val="007A7AE3"/>
    <w:rsid w:val="007A7C90"/>
    <w:rsid w:val="007B0362"/>
    <w:rsid w:val="007B15AB"/>
    <w:rsid w:val="007B5F50"/>
    <w:rsid w:val="007B665A"/>
    <w:rsid w:val="007B7145"/>
    <w:rsid w:val="007B7EA1"/>
    <w:rsid w:val="007C1528"/>
    <w:rsid w:val="007C1A4A"/>
    <w:rsid w:val="007C1B53"/>
    <w:rsid w:val="007D3F3D"/>
    <w:rsid w:val="007D4EB2"/>
    <w:rsid w:val="007E6938"/>
    <w:rsid w:val="007E7C08"/>
    <w:rsid w:val="007F35FF"/>
    <w:rsid w:val="007F5BA3"/>
    <w:rsid w:val="007F684C"/>
    <w:rsid w:val="00801B7B"/>
    <w:rsid w:val="00805A3B"/>
    <w:rsid w:val="008120D0"/>
    <w:rsid w:val="00820ECC"/>
    <w:rsid w:val="008315A1"/>
    <w:rsid w:val="00831D38"/>
    <w:rsid w:val="008338DB"/>
    <w:rsid w:val="00836365"/>
    <w:rsid w:val="0083694E"/>
    <w:rsid w:val="00853398"/>
    <w:rsid w:val="0085522D"/>
    <w:rsid w:val="00855306"/>
    <w:rsid w:val="0086188B"/>
    <w:rsid w:val="00863A1C"/>
    <w:rsid w:val="00864154"/>
    <w:rsid w:val="00866D9F"/>
    <w:rsid w:val="00867F43"/>
    <w:rsid w:val="00872232"/>
    <w:rsid w:val="00872317"/>
    <w:rsid w:val="00874CB8"/>
    <w:rsid w:val="008800B9"/>
    <w:rsid w:val="0088034E"/>
    <w:rsid w:val="0088070E"/>
    <w:rsid w:val="008808CB"/>
    <w:rsid w:val="008822F1"/>
    <w:rsid w:val="00887C2C"/>
    <w:rsid w:val="00890CD7"/>
    <w:rsid w:val="00894B8D"/>
    <w:rsid w:val="008A6A7E"/>
    <w:rsid w:val="008A6B21"/>
    <w:rsid w:val="008B01A9"/>
    <w:rsid w:val="008B3329"/>
    <w:rsid w:val="008B6FBB"/>
    <w:rsid w:val="008B7993"/>
    <w:rsid w:val="008C0311"/>
    <w:rsid w:val="008C5B5E"/>
    <w:rsid w:val="008C61F2"/>
    <w:rsid w:val="008D12CE"/>
    <w:rsid w:val="008E0750"/>
    <w:rsid w:val="008E6251"/>
    <w:rsid w:val="008E6CC7"/>
    <w:rsid w:val="008F2069"/>
    <w:rsid w:val="008F2B57"/>
    <w:rsid w:val="00900824"/>
    <w:rsid w:val="00900A0A"/>
    <w:rsid w:val="009046F1"/>
    <w:rsid w:val="009136CF"/>
    <w:rsid w:val="00916784"/>
    <w:rsid w:val="00916A83"/>
    <w:rsid w:val="00917C1D"/>
    <w:rsid w:val="00917CF5"/>
    <w:rsid w:val="0092148F"/>
    <w:rsid w:val="00937116"/>
    <w:rsid w:val="0094612F"/>
    <w:rsid w:val="00946B02"/>
    <w:rsid w:val="00947636"/>
    <w:rsid w:val="00950A7B"/>
    <w:rsid w:val="0096141D"/>
    <w:rsid w:val="00961F2D"/>
    <w:rsid w:val="00967189"/>
    <w:rsid w:val="00967CCD"/>
    <w:rsid w:val="0097010D"/>
    <w:rsid w:val="00970A3E"/>
    <w:rsid w:val="00971331"/>
    <w:rsid w:val="009739ED"/>
    <w:rsid w:val="009807FD"/>
    <w:rsid w:val="0098089E"/>
    <w:rsid w:val="00983B4A"/>
    <w:rsid w:val="00990015"/>
    <w:rsid w:val="00994D1F"/>
    <w:rsid w:val="00994FFA"/>
    <w:rsid w:val="009A0779"/>
    <w:rsid w:val="009A0854"/>
    <w:rsid w:val="009A09FB"/>
    <w:rsid w:val="009A49A9"/>
    <w:rsid w:val="009A4F32"/>
    <w:rsid w:val="009A5409"/>
    <w:rsid w:val="009B18A7"/>
    <w:rsid w:val="009B4566"/>
    <w:rsid w:val="009B7FE6"/>
    <w:rsid w:val="009C02A2"/>
    <w:rsid w:val="009C1531"/>
    <w:rsid w:val="009C2306"/>
    <w:rsid w:val="009C7FB5"/>
    <w:rsid w:val="009D2CC4"/>
    <w:rsid w:val="009D3104"/>
    <w:rsid w:val="009D3505"/>
    <w:rsid w:val="009D38D2"/>
    <w:rsid w:val="009D42B2"/>
    <w:rsid w:val="009E02BA"/>
    <w:rsid w:val="009E25D5"/>
    <w:rsid w:val="009E32E7"/>
    <w:rsid w:val="009E6867"/>
    <w:rsid w:val="009E72D6"/>
    <w:rsid w:val="009F0CBE"/>
    <w:rsid w:val="009F22AE"/>
    <w:rsid w:val="009F2D3A"/>
    <w:rsid w:val="009F4571"/>
    <w:rsid w:val="009F5C46"/>
    <w:rsid w:val="009F7AC7"/>
    <w:rsid w:val="00A03F91"/>
    <w:rsid w:val="00A058BC"/>
    <w:rsid w:val="00A108E8"/>
    <w:rsid w:val="00A11E07"/>
    <w:rsid w:val="00A13D97"/>
    <w:rsid w:val="00A22037"/>
    <w:rsid w:val="00A2203B"/>
    <w:rsid w:val="00A2268E"/>
    <w:rsid w:val="00A247BB"/>
    <w:rsid w:val="00A27EB7"/>
    <w:rsid w:val="00A313E6"/>
    <w:rsid w:val="00A33D5E"/>
    <w:rsid w:val="00A35D27"/>
    <w:rsid w:val="00A414EC"/>
    <w:rsid w:val="00A44A56"/>
    <w:rsid w:val="00A4627B"/>
    <w:rsid w:val="00A4741B"/>
    <w:rsid w:val="00A55515"/>
    <w:rsid w:val="00A6162E"/>
    <w:rsid w:val="00A64C30"/>
    <w:rsid w:val="00A64DBC"/>
    <w:rsid w:val="00A67AA2"/>
    <w:rsid w:val="00A75CB2"/>
    <w:rsid w:val="00A8308D"/>
    <w:rsid w:val="00A84C68"/>
    <w:rsid w:val="00A850AA"/>
    <w:rsid w:val="00A919E7"/>
    <w:rsid w:val="00A963A6"/>
    <w:rsid w:val="00AA101E"/>
    <w:rsid w:val="00AA28A4"/>
    <w:rsid w:val="00AA3322"/>
    <w:rsid w:val="00AA3F9E"/>
    <w:rsid w:val="00AA52C8"/>
    <w:rsid w:val="00AA6F0E"/>
    <w:rsid w:val="00AB2A28"/>
    <w:rsid w:val="00AB3B93"/>
    <w:rsid w:val="00AC0BF6"/>
    <w:rsid w:val="00AC1D35"/>
    <w:rsid w:val="00AC576C"/>
    <w:rsid w:val="00AC6FBC"/>
    <w:rsid w:val="00AD360A"/>
    <w:rsid w:val="00AD3735"/>
    <w:rsid w:val="00AD455F"/>
    <w:rsid w:val="00AE1278"/>
    <w:rsid w:val="00AE4920"/>
    <w:rsid w:val="00B00E55"/>
    <w:rsid w:val="00B01050"/>
    <w:rsid w:val="00B037ED"/>
    <w:rsid w:val="00B159EF"/>
    <w:rsid w:val="00B22694"/>
    <w:rsid w:val="00B30702"/>
    <w:rsid w:val="00B32EC6"/>
    <w:rsid w:val="00B345CA"/>
    <w:rsid w:val="00B4064E"/>
    <w:rsid w:val="00B4098E"/>
    <w:rsid w:val="00B40AFA"/>
    <w:rsid w:val="00B46B63"/>
    <w:rsid w:val="00B55305"/>
    <w:rsid w:val="00B55564"/>
    <w:rsid w:val="00B5622D"/>
    <w:rsid w:val="00B56578"/>
    <w:rsid w:val="00B64BDF"/>
    <w:rsid w:val="00B73A83"/>
    <w:rsid w:val="00B83939"/>
    <w:rsid w:val="00B8546F"/>
    <w:rsid w:val="00B90278"/>
    <w:rsid w:val="00B94691"/>
    <w:rsid w:val="00B9560A"/>
    <w:rsid w:val="00BA5852"/>
    <w:rsid w:val="00BA7261"/>
    <w:rsid w:val="00BB4E2E"/>
    <w:rsid w:val="00BB6516"/>
    <w:rsid w:val="00BB7115"/>
    <w:rsid w:val="00BC281D"/>
    <w:rsid w:val="00BC47B3"/>
    <w:rsid w:val="00BD085C"/>
    <w:rsid w:val="00BD4E24"/>
    <w:rsid w:val="00BD7776"/>
    <w:rsid w:val="00BD7AB7"/>
    <w:rsid w:val="00BE2AF3"/>
    <w:rsid w:val="00BE3D91"/>
    <w:rsid w:val="00BE6B02"/>
    <w:rsid w:val="00BF1779"/>
    <w:rsid w:val="00BF49F2"/>
    <w:rsid w:val="00C022E3"/>
    <w:rsid w:val="00C024BC"/>
    <w:rsid w:val="00C03952"/>
    <w:rsid w:val="00C03EAC"/>
    <w:rsid w:val="00C05AFC"/>
    <w:rsid w:val="00C11F11"/>
    <w:rsid w:val="00C13683"/>
    <w:rsid w:val="00C15834"/>
    <w:rsid w:val="00C204B4"/>
    <w:rsid w:val="00C2423F"/>
    <w:rsid w:val="00C24ABA"/>
    <w:rsid w:val="00C25034"/>
    <w:rsid w:val="00C279A4"/>
    <w:rsid w:val="00C31F34"/>
    <w:rsid w:val="00C359F9"/>
    <w:rsid w:val="00C44E2B"/>
    <w:rsid w:val="00C460AC"/>
    <w:rsid w:val="00C50723"/>
    <w:rsid w:val="00C5183C"/>
    <w:rsid w:val="00C528A7"/>
    <w:rsid w:val="00C556DD"/>
    <w:rsid w:val="00C55FFC"/>
    <w:rsid w:val="00C56048"/>
    <w:rsid w:val="00C6260F"/>
    <w:rsid w:val="00C627EE"/>
    <w:rsid w:val="00C62A78"/>
    <w:rsid w:val="00C6699F"/>
    <w:rsid w:val="00C67FA2"/>
    <w:rsid w:val="00C733F7"/>
    <w:rsid w:val="00C74EAA"/>
    <w:rsid w:val="00C776B5"/>
    <w:rsid w:val="00C83FE9"/>
    <w:rsid w:val="00C90251"/>
    <w:rsid w:val="00C90C1B"/>
    <w:rsid w:val="00C93FA2"/>
    <w:rsid w:val="00C9693A"/>
    <w:rsid w:val="00CA4CA7"/>
    <w:rsid w:val="00CA56BC"/>
    <w:rsid w:val="00CB15A5"/>
    <w:rsid w:val="00CB1983"/>
    <w:rsid w:val="00CB3907"/>
    <w:rsid w:val="00CB4990"/>
    <w:rsid w:val="00CB6CA4"/>
    <w:rsid w:val="00CC065C"/>
    <w:rsid w:val="00CC1F36"/>
    <w:rsid w:val="00CC31AB"/>
    <w:rsid w:val="00CC55A5"/>
    <w:rsid w:val="00CC583C"/>
    <w:rsid w:val="00CC6D2B"/>
    <w:rsid w:val="00CD36ED"/>
    <w:rsid w:val="00CD5070"/>
    <w:rsid w:val="00CD7C17"/>
    <w:rsid w:val="00CE00C6"/>
    <w:rsid w:val="00CE252B"/>
    <w:rsid w:val="00CE3282"/>
    <w:rsid w:val="00CE6CA9"/>
    <w:rsid w:val="00CE7129"/>
    <w:rsid w:val="00CF05E0"/>
    <w:rsid w:val="00CF2EF7"/>
    <w:rsid w:val="00D053B7"/>
    <w:rsid w:val="00D1019C"/>
    <w:rsid w:val="00D12709"/>
    <w:rsid w:val="00D22393"/>
    <w:rsid w:val="00D248A1"/>
    <w:rsid w:val="00D24DA8"/>
    <w:rsid w:val="00D32F7E"/>
    <w:rsid w:val="00D333DF"/>
    <w:rsid w:val="00D33DDB"/>
    <w:rsid w:val="00D343A6"/>
    <w:rsid w:val="00D42326"/>
    <w:rsid w:val="00D42E4D"/>
    <w:rsid w:val="00D43C16"/>
    <w:rsid w:val="00D43F84"/>
    <w:rsid w:val="00D46550"/>
    <w:rsid w:val="00D52FE7"/>
    <w:rsid w:val="00D55FA8"/>
    <w:rsid w:val="00D57141"/>
    <w:rsid w:val="00D578E2"/>
    <w:rsid w:val="00D641E9"/>
    <w:rsid w:val="00D66B6D"/>
    <w:rsid w:val="00D70375"/>
    <w:rsid w:val="00D733DC"/>
    <w:rsid w:val="00D7390C"/>
    <w:rsid w:val="00D747DB"/>
    <w:rsid w:val="00D74A90"/>
    <w:rsid w:val="00D765FE"/>
    <w:rsid w:val="00D77F0B"/>
    <w:rsid w:val="00D84924"/>
    <w:rsid w:val="00DA1A9D"/>
    <w:rsid w:val="00DA6EF0"/>
    <w:rsid w:val="00DB14C7"/>
    <w:rsid w:val="00DB27DC"/>
    <w:rsid w:val="00DB360E"/>
    <w:rsid w:val="00DB70D9"/>
    <w:rsid w:val="00DC560D"/>
    <w:rsid w:val="00DC5F31"/>
    <w:rsid w:val="00DC7506"/>
    <w:rsid w:val="00DD2A14"/>
    <w:rsid w:val="00DE25CA"/>
    <w:rsid w:val="00DE40A6"/>
    <w:rsid w:val="00DE593E"/>
    <w:rsid w:val="00DE5EC9"/>
    <w:rsid w:val="00DF2730"/>
    <w:rsid w:val="00DF2FA3"/>
    <w:rsid w:val="00E0171D"/>
    <w:rsid w:val="00E03014"/>
    <w:rsid w:val="00E11AD3"/>
    <w:rsid w:val="00E1445B"/>
    <w:rsid w:val="00E14D34"/>
    <w:rsid w:val="00E15323"/>
    <w:rsid w:val="00E176E8"/>
    <w:rsid w:val="00E246CC"/>
    <w:rsid w:val="00E33DDF"/>
    <w:rsid w:val="00E43381"/>
    <w:rsid w:val="00E50168"/>
    <w:rsid w:val="00E5694E"/>
    <w:rsid w:val="00E6348F"/>
    <w:rsid w:val="00E64F16"/>
    <w:rsid w:val="00E658F3"/>
    <w:rsid w:val="00E6764D"/>
    <w:rsid w:val="00E72C3F"/>
    <w:rsid w:val="00E81FFE"/>
    <w:rsid w:val="00E83C4D"/>
    <w:rsid w:val="00E92C37"/>
    <w:rsid w:val="00E95732"/>
    <w:rsid w:val="00E95742"/>
    <w:rsid w:val="00E95C00"/>
    <w:rsid w:val="00EA4AB6"/>
    <w:rsid w:val="00EA5066"/>
    <w:rsid w:val="00EB1EB6"/>
    <w:rsid w:val="00EB21D3"/>
    <w:rsid w:val="00EB42D8"/>
    <w:rsid w:val="00EC1607"/>
    <w:rsid w:val="00EC3628"/>
    <w:rsid w:val="00EC3894"/>
    <w:rsid w:val="00EC4F21"/>
    <w:rsid w:val="00EC6CC4"/>
    <w:rsid w:val="00ED069F"/>
    <w:rsid w:val="00ED27D2"/>
    <w:rsid w:val="00ED345A"/>
    <w:rsid w:val="00EE50F8"/>
    <w:rsid w:val="00EF20BB"/>
    <w:rsid w:val="00EF532D"/>
    <w:rsid w:val="00F01287"/>
    <w:rsid w:val="00F066F5"/>
    <w:rsid w:val="00F06C36"/>
    <w:rsid w:val="00F103A8"/>
    <w:rsid w:val="00F104AD"/>
    <w:rsid w:val="00F243AC"/>
    <w:rsid w:val="00F258D0"/>
    <w:rsid w:val="00F32A7B"/>
    <w:rsid w:val="00F3530E"/>
    <w:rsid w:val="00F35E21"/>
    <w:rsid w:val="00F36479"/>
    <w:rsid w:val="00F40CC5"/>
    <w:rsid w:val="00F545DD"/>
    <w:rsid w:val="00F55DA0"/>
    <w:rsid w:val="00F60927"/>
    <w:rsid w:val="00F64C2B"/>
    <w:rsid w:val="00F6550D"/>
    <w:rsid w:val="00F65C3F"/>
    <w:rsid w:val="00F66981"/>
    <w:rsid w:val="00F854D9"/>
    <w:rsid w:val="00F86EC2"/>
    <w:rsid w:val="00F90DDC"/>
    <w:rsid w:val="00F93676"/>
    <w:rsid w:val="00F93F45"/>
    <w:rsid w:val="00F93FB4"/>
    <w:rsid w:val="00F95293"/>
    <w:rsid w:val="00FA1D20"/>
    <w:rsid w:val="00FA2E33"/>
    <w:rsid w:val="00FA3E19"/>
    <w:rsid w:val="00FB61F9"/>
    <w:rsid w:val="00FE1A7F"/>
    <w:rsid w:val="00FE2216"/>
    <w:rsid w:val="00FE32D2"/>
    <w:rsid w:val="00FE4FB5"/>
    <w:rsid w:val="00FE5719"/>
    <w:rsid w:val="00FE744E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2C3C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424C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4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pr.gov.br/?p=1477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nselhoarquitetura-my.sharepoint.com/:f:/g/personal/joao_dressler_caupr_gov_br/EqqZHOVmatVDiPzr6KbZNEABIKK39dsY8kGa8-zOGPu_CA?e=fmSDH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1271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2119</cp:revision>
  <dcterms:created xsi:type="dcterms:W3CDTF">2022-03-21T20:05:00Z</dcterms:created>
  <dcterms:modified xsi:type="dcterms:W3CDTF">2022-05-23T18:54:00Z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