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1541297/2022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Sinistro em obra de construção de edificação residencial em Cianorte/PR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036/2022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spacing w:lineRule="auto" w:line="276" w:before="57" w:after="197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31 de maio de 2022, no uso das competências que lhe conferem o Regimento Interno do CAU/PR, após análise do assunto em epígrafe, e</w:t>
      </w:r>
    </w:p>
    <w:p>
      <w:pPr>
        <w:pStyle w:val="Corpodotexto"/>
        <w:spacing w:lineRule="auto" w:line="276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regulamenta o exercício da Arquitetura e Urbanismo e dá outras providências;</w:t>
      </w:r>
    </w:p>
    <w:p>
      <w:pPr>
        <w:pStyle w:val="Corpodotexto"/>
        <w:ind w:left="0" w:hanging="0"/>
        <w:rPr>
          <w:i/>
          <w:i/>
          <w:iCs/>
        </w:rPr>
      </w:pPr>
      <w:r>
        <w:rPr>
          <w:rFonts w:ascii="Times New Roman" w:hAnsi="Times New Roman"/>
          <w:i/>
          <w:iCs/>
        </w:rPr>
        <w:t xml:space="preserve">             </w:t>
      </w:r>
      <w:r>
        <w:rPr>
          <w:rFonts w:ascii="Times New Roman" w:hAnsi="Times New Roman"/>
          <w:i/>
          <w:iCs/>
        </w:rPr>
        <w:t xml:space="preserve">Art. 18. </w:t>
      </w:r>
      <w:r>
        <w:rPr>
          <w:rFonts w:ascii="Times New Roman" w:hAnsi="Times New Roman"/>
          <w:bCs/>
          <w:i/>
          <w:iCs/>
          <w:color w:val="000000"/>
          <w:shd w:fill="FFFFFF" w:val="clear"/>
        </w:rPr>
        <w:t xml:space="preserve">Constituem infrações disciplinares, além de outras definidas pelo Código de Ética e        </w:t>
        <w:tab/>
        <w:t xml:space="preserve">  Disciplina:</w:t>
      </w:r>
    </w:p>
    <w:p>
      <w:pPr>
        <w:pStyle w:val="Normal"/>
        <w:numPr>
          <w:ilvl w:val="0"/>
          <w:numId w:val="0"/>
        </w:numPr>
        <w:spacing w:before="0" w:after="240"/>
        <w:ind w:left="792" w:hanging="0"/>
        <w:contextualSpacing/>
        <w:jc w:val="both"/>
        <w:rPr>
          <w:i/>
          <w:i/>
          <w:iCs/>
        </w:rPr>
      </w:pPr>
      <w:r>
        <w:rPr>
          <w:rFonts w:ascii="Times New Roman" w:hAnsi="Times New Roman"/>
          <w:bCs/>
          <w:i/>
          <w:iCs/>
          <w:color w:val="000000"/>
          <w:shd w:fill="FFFFFF" w:val="clear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hd w:fill="FFFFFF" w:val="clear"/>
        </w:rPr>
        <w:t xml:space="preserve">I - registrar projeto ou trabalho técnico ou de criação no CAU, para fins de comprovação de direitos autorais e formação de acervo técnico, que não haja sido efetivamente concebido, desenvolvido ou elaborado por quem requerer o registro; </w:t>
      </w:r>
    </w:p>
    <w:p>
      <w:pPr>
        <w:pStyle w:val="Normal"/>
        <w:numPr>
          <w:ilvl w:val="0"/>
          <w:numId w:val="0"/>
        </w:numPr>
        <w:spacing w:before="0" w:after="240"/>
        <w:ind w:left="792" w:hanging="0"/>
        <w:contextualSpacing/>
        <w:jc w:val="both"/>
        <w:rPr>
          <w:rFonts w:ascii="Times New Roman" w:hAnsi="Times New Roman"/>
          <w:bCs/>
          <w:color w:val="000000"/>
          <w:shd w:fill="FFFFFF" w:val="clear"/>
        </w:rPr>
      </w:pPr>
      <w:r>
        <w:rPr>
          <w:rFonts w:ascii="Times New Roman" w:hAnsi="Times New Roman"/>
          <w:bCs/>
          <w:color w:val="000000"/>
          <w:shd w:fill="FFFFFF" w:val="clear"/>
        </w:rPr>
      </w:r>
    </w:p>
    <w:p>
      <w:pPr>
        <w:pStyle w:val="Normal"/>
        <w:spacing w:before="0" w:after="240"/>
        <w:ind w:left="851" w:hanging="0"/>
        <w:jc w:val="both"/>
        <w:rPr>
          <w:rFonts w:ascii="Times New Roman" w:hAnsi="Times New Roman"/>
          <w:bCs/>
          <w:i/>
          <w:i/>
          <w:color w:val="000000"/>
          <w:shd w:fill="FFFFFF" w:val="clear"/>
        </w:rPr>
      </w:pPr>
      <w:r>
        <w:rPr>
          <w:rFonts w:ascii="Times New Roman" w:hAnsi="Times New Roman"/>
          <w:bCs/>
          <w:i/>
          <w:color w:val="000000"/>
          <w:shd w:fill="FFFFFF" w:val="clear"/>
        </w:rPr>
        <w:t xml:space="preserve">IV - delegar a quem não seja arquiteto e urbanista a execução de atividade privativa de arquiteto e urbanista; </w:t>
      </w:r>
    </w:p>
    <w:p>
      <w:pPr>
        <w:pStyle w:val="Normal"/>
        <w:spacing w:before="0" w:after="240"/>
        <w:ind w:left="851" w:hanging="0"/>
        <w:jc w:val="both"/>
        <w:rPr>
          <w:rFonts w:ascii="Times New Roman" w:hAnsi="Times New Roman"/>
          <w:bCs/>
          <w:i/>
          <w:i/>
          <w:color w:val="000000"/>
          <w:shd w:fill="FFFFFF" w:val="clear"/>
        </w:rPr>
      </w:pPr>
      <w:r>
        <w:rPr>
          <w:rFonts w:ascii="Times New Roman" w:hAnsi="Times New Roman"/>
          <w:bCs/>
          <w:i/>
          <w:color w:val="000000"/>
          <w:shd w:fill="FFFFFF" w:val="clear"/>
        </w:rPr>
        <w:t xml:space="preserve">V - integrar sociedade de prestação de serviços de arquitetura e urbanismo sem nela atuar, efetivamente, com objetivo de viabilizar o registro da empresa no CAU, de utilizar o nome arquitetura ou urbanismo na razão jurídica ou nome fantasia ou ainda de simular para os usuários dos serviços de arquitetura e urbanismo a existência de profissional do ramo atuando; </w:t>
      </w:r>
    </w:p>
    <w:p>
      <w:pPr>
        <w:pStyle w:val="Normal"/>
        <w:spacing w:before="0" w:after="240"/>
        <w:ind w:left="851" w:hanging="0"/>
        <w:jc w:val="both"/>
        <w:rPr>
          <w:rFonts w:ascii="Times New Roman" w:hAnsi="Times New Roman"/>
          <w:bCs/>
          <w:i/>
          <w:i/>
          <w:color w:val="000000"/>
          <w:shd w:fill="FFFFFF" w:val="clear"/>
        </w:rPr>
      </w:pPr>
      <w:r>
        <w:rPr>
          <w:rFonts w:ascii="Times New Roman" w:hAnsi="Times New Roman"/>
          <w:bCs/>
          <w:i/>
          <w:color w:val="000000"/>
          <w:shd w:fill="FFFFFF" w:val="clear"/>
        </w:rPr>
        <w:t xml:space="preserve">IX - deixar de observar as normas legais e técnicas pertinentes na execução de atividades de arquitetura e urbanismo; </w:t>
      </w:r>
    </w:p>
    <w:p>
      <w:pPr>
        <w:pStyle w:val="Normal"/>
        <w:spacing w:before="0" w:after="240"/>
        <w:ind w:left="851" w:hanging="0"/>
        <w:jc w:val="both"/>
        <w:rPr>
          <w:rFonts w:ascii="Times New Roman" w:hAnsi="Times New Roman"/>
          <w:bCs/>
          <w:i/>
          <w:i/>
          <w:color w:val="000000"/>
          <w:shd w:fill="FFFFFF" w:val="clear"/>
        </w:rPr>
      </w:pPr>
      <w:r>
        <w:rPr>
          <w:rFonts w:ascii="Times New Roman" w:hAnsi="Times New Roman"/>
          <w:bCs/>
          <w:i/>
          <w:color w:val="000000"/>
          <w:shd w:fill="FFFFFF" w:val="clear"/>
        </w:rPr>
        <w:t>X - ser desidioso na execução do trabalho contratado;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240"/>
        <w:ind w:left="0" w:right="0" w:hanging="0"/>
        <w:contextualSpacing/>
        <w:jc w:val="both"/>
        <w:rPr>
          <w:rFonts w:ascii="Times New Roman" w:hAnsi="Times New Roman"/>
          <w:bCs/>
          <w:color w:val="000000"/>
          <w:shd w:fill="FFFFFF" w:val="clear"/>
        </w:rPr>
      </w:pPr>
      <w:r>
        <w:rPr>
          <w:rFonts w:ascii="Times New Roman" w:hAnsi="Times New Roman"/>
          <w:bCs/>
          <w:i w:val="false"/>
          <w:iCs w:val="false"/>
          <w:color w:val="000000"/>
          <w:shd w:fill="FFFFFF" w:val="clear"/>
        </w:rPr>
        <w:t xml:space="preserve">Considerando a Resolução nº 52/2013, que aprova o Código de Ética e Disciplina do Conselho de Arquitetura e Urbanismo do Brasil (CAU/BR); </w:t>
      </w:r>
    </w:p>
    <w:p>
      <w:pPr>
        <w:pStyle w:val="Normal"/>
        <w:spacing w:before="114" w:after="23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Considerando o disposto no artigo 12 da Resolução n° 143 do CAU/BR, e o encaminhamento do protocolo relativo ao processo de fiscalização n° 1000152301/2022, no qual estão relatadas possíveis infrações ao Código de Ética e Disciplina e/ou ao Artigo 18 da Lei Federal 12.378/2010;</w:t>
      </w:r>
    </w:p>
    <w:p>
      <w:pPr>
        <w:pStyle w:val="Normal"/>
        <w:spacing w:before="114" w:after="23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Considerando a Resolução nº 22/2012, que dispõe sobre a fiscalização do exercício profissional da Arquitetura e Urbanismo, Art. 35, inciso XII, Pessoa Jurídica registrada no CAU, mas sem responsável técnico, exercendo atividade fiscalizado por este conselho;</w:t>
      </w:r>
    </w:p>
    <w:p>
      <w:pPr>
        <w:pStyle w:val="Normal"/>
        <w:spacing w:before="114" w:after="230"/>
        <w:ind w:left="0" w:hanging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Encaminhar este processo para a CED, para averiguar possíveis infrações éticas por parte do profissional Hamilton, por não ter apresentado de forma tempestiva os projetos complementares solicitados pelo CAU/PR e ter atuado no empreendimento mesmo depois de notificar o contratante da suspensão da responsabilidade técnica da obra;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Autuar a empresa WSA CONSTRUTORA, conforme Resolução 22 de 04/05/2012, no Art. 35, XII - Pessoa jurídica registrada no CAU, mas sem responsável técnico, exercendo atividade fiscalizada por este conselho, com multa de 09 anuidades;</w:t>
      </w:r>
    </w:p>
    <w:p>
      <w:pPr>
        <w:pStyle w:val="Corpodotexto"/>
        <w:widowControl w:val="false"/>
        <w:numPr>
          <w:ilvl w:val="0"/>
          <w:numId w:val="1"/>
        </w:numPr>
        <w:suppressAutoHyphens w:val="false"/>
        <w:spacing w:before="285" w:after="285"/>
        <w:contextualSpacing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 w:cs="Arial"/>
          <w:iCs/>
          <w:color w:val="000000" w:themeColor="text1"/>
          <w:kern w:val="0"/>
          <w:sz w:val="22"/>
          <w:szCs w:val="22"/>
          <w:lang w:val="pt-BR" w:eastAsia="en-US" w:bidi="ar-SA"/>
        </w:rPr>
      </w:pPr>
      <w:r>
        <w:rPr>
          <w:rFonts w:eastAsia="Calibri" w:cs="Arial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Encaminhar modelo de contratação do profissional ao Ministério do Trabalho e Emprego, por conter indício de não atendimento às leis trabalhistas e ao Salário Mínimo Profissional;</w:t>
      </w:r>
    </w:p>
    <w:p>
      <w:pPr>
        <w:pStyle w:val="Corpodotexto"/>
        <w:widowControl w:val="false"/>
        <w:suppressAutoHyphens w:val="false"/>
        <w:spacing w:before="285" w:after="285"/>
        <w:contextualSpacing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 w:cs="Arial"/>
          <w:iCs/>
          <w:color w:val="000000" w:themeColor="text1"/>
          <w:kern w:val="0"/>
          <w:sz w:val="22"/>
          <w:szCs w:val="22"/>
          <w:lang w:val="pt-BR" w:eastAsia="en-US" w:bidi="ar-SA"/>
        </w:rPr>
      </w:pPr>
      <w:r>
        <w:rPr>
          <w:rFonts w:eastAsia="Calibri" w:cs="Arial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</w:r>
    </w:p>
    <w:p>
      <w:pPr>
        <w:pStyle w:val="Corpodotexto"/>
        <w:widowControl w:val="false"/>
        <w:numPr>
          <w:ilvl w:val="0"/>
          <w:numId w:val="1"/>
        </w:numPr>
        <w:suppressAutoHyphens w:val="false"/>
        <w:spacing w:lineRule="auto" w:line="480" w:before="228" w:after="228"/>
        <w:contextualSpacing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 w:cs="Arial"/>
          <w:iCs/>
          <w:color w:val="000000" w:themeColor="text1"/>
          <w:kern w:val="0"/>
          <w:sz w:val="22"/>
          <w:szCs w:val="22"/>
          <w:lang w:val="pt-BR" w:eastAsia="en-US" w:bidi="ar-SA"/>
        </w:rPr>
      </w:pPr>
      <w:r>
        <w:rPr>
          <w:rFonts w:eastAsia="Calibri" w:cs="Arial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 w:eastAsia="Calibri" w:cs="Arial"/>
          <w:iCs/>
          <w:color w:val="000000" w:themeColor="text1"/>
          <w:kern w:val="0"/>
          <w:sz w:val="22"/>
          <w:szCs w:val="22"/>
          <w:lang w:val="pt-BR" w:eastAsia="en-US" w:bidi="ar-SA"/>
        </w:rPr>
      </w:pPr>
      <w:r>
        <w:rPr>
          <w:rFonts w:eastAsia="Calibri" w:cs="Arial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373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>: E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4"/>
                <w:lang w:val="pt-BR" w:eastAsia="en-US" w:bidi="ar-SA"/>
              </w:rPr>
              <w:t>ncaminhar o processo a CED-CAU/PR e a Gerência Jurídica.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1541297/2022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6800014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LibreOffice/7.2.1.2$Windows_X86_64 LibreOffice_project/87b77fad49947c1441b67c559c339af8f3517e22</Application>
  <AppVersion>15.0000</AppVersion>
  <Pages>3</Pages>
  <Words>789</Words>
  <Characters>4396</Characters>
  <CharactersWithSpaces>5154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2022-06-21T14:18:51Z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