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1386454/2021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FIS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 – Gerên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cia de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Fiscalização -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CAU/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GABRIELA BASTOS GALVÃO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046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</w:rPr>
        <w:t>C</w:t>
      </w:r>
      <w:r>
        <w:rPr>
          <w:rFonts w:ascii="Times New Roman" w:hAnsi="Times New Roman"/>
        </w:rPr>
        <w:t>onsiderando o conhecimento da matéria encaminhada para apreciação da CEP - 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>Ormy Leocádio Hutner Junior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voto do conselheiro relator,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arquivar o processo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31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maio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1386454/2021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Arquivar o processo.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4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0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0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619489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LibreOffice/7.2.1.2$Windows_X86_64 LibreOffice_project/87b77fad49947c1441b67c559c339af8f3517e22</Application>
  <AppVersion>15.0000</AppVersion>
  <Pages>2</Pages>
  <Words>408</Words>
  <Characters>2284</Characters>
  <CharactersWithSpaces>2648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2022-06-23T14:44:40Z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