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470656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INTEGRARE ARQUITETURA E ENGENHARIA S/S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31 de maio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Considerando o relatório e voto do Conselheiro Relator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Ormy Leocádio Hutner Junior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 xml:space="preserve">Acompanhar o voto do conselheiro relator, no sentido de manter o auto de infração e multa com valor mínimo em função do pedido do registro ter ocorrido após a emissão do auto de infração;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31 de maio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5ª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"/>
        <w:gridCol w:w="1369"/>
        <w:gridCol w:w="831"/>
        <w:gridCol w:w="2678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5ª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31/05/2022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 xml:space="preserve">Manter o auto de infração e multa </w:t>
            </w:r>
            <w:r>
              <w:rPr>
                <w:rFonts w:eastAsia="Cambria" w:ascii="Times New Roman" w:hAnsi="Times New Roman"/>
                <w:b w:val="false"/>
                <w:color w:val="000000" w:themeColor="text1"/>
                <w:kern w:val="0"/>
                <w:sz w:val="24"/>
                <w:szCs w:val="24"/>
                <w:lang w:val="pt-BR" w:bidi="ar-SA"/>
              </w:rPr>
              <w:t>com valor mínimo.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rotocolo: 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470656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/202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262109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LibreOffice/7.2.1.2$Windows_X86_64 LibreOffice_project/87b77fad49947c1441b67c559c339af8f3517e22</Application>
  <AppVersion>15.0000</AppVersion>
  <Pages>2</Pages>
  <Words>501</Words>
  <Characters>2776</Characters>
  <CharactersWithSpaces>3231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2022-06-23T12:25:02Z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