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4046D" w:rsidTr="00740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4046D" w:rsidRDefault="00AE457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4046D" w:rsidRDefault="00AE4576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1423555/2021</w:t>
            </w:r>
          </w:p>
        </w:tc>
      </w:tr>
      <w:tr w:rsidR="0074046D" w:rsidTr="0074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4046D" w:rsidRDefault="00AE457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4046D" w:rsidRDefault="00AE4576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74046D" w:rsidTr="00740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74046D" w:rsidRDefault="00AE457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74046D" w:rsidRDefault="00AE4576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DAYANE VIEIRA COSTA VIOLA</w:t>
            </w:r>
          </w:p>
        </w:tc>
      </w:tr>
      <w:tr w:rsidR="0074046D" w:rsidTr="00740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74046D" w:rsidRDefault="00AE457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058/2022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74046D" w:rsidRDefault="0074046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74046D" w:rsidRDefault="00AE4576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 w:rsidR="00B53151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74046D" w:rsidRDefault="00AE4576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74046D" w:rsidRDefault="00AE4576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 Ricardo Luiz Leites de Oliveira.</w:t>
      </w:r>
    </w:p>
    <w:p w:rsidR="0074046D" w:rsidRDefault="0074046D">
      <w:pPr>
        <w:pStyle w:val="Corpodetexto"/>
        <w:ind w:left="0" w:firstLine="0"/>
        <w:rPr>
          <w:rFonts w:ascii="Times New Roman" w:hAnsi="Times New Roman"/>
        </w:rPr>
      </w:pPr>
    </w:p>
    <w:p w:rsidR="0074046D" w:rsidRDefault="00AE457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74046D" w:rsidRDefault="0074046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74046D" w:rsidRDefault="00AE4576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Acompanhar o Relatório e Voto Fundamentado do Conselheiro Relator, no âmbito da CEP-CAU/PR, no sentido de arquivar o Auto de Infração, tendo em vista o pagamento da multa; </w:t>
      </w:r>
    </w:p>
    <w:p w:rsidR="0074046D" w:rsidRDefault="00AE4576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74046D" w:rsidRDefault="0074046D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74046D" w:rsidRDefault="00AE4576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74046D" w:rsidRDefault="0074046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74046D" w:rsidRDefault="0074046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74046D" w:rsidRDefault="0074046D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74046D" w:rsidRDefault="00AE457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74046D" w:rsidRDefault="0074046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4046D" w:rsidRDefault="0074046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4046D" w:rsidRDefault="0074046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4046D" w:rsidRDefault="00AE4576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74046D" w:rsidRDefault="0074046D">
      <w:pPr>
        <w:spacing w:after="160"/>
        <w:rPr>
          <w:rFonts w:ascii="Times New Roman" w:hAnsi="Times New Roman"/>
          <w:szCs w:val="24"/>
        </w:rPr>
      </w:pPr>
    </w:p>
    <w:p w:rsidR="0074046D" w:rsidRDefault="0074046D">
      <w:pPr>
        <w:spacing w:after="160"/>
        <w:rPr>
          <w:rFonts w:ascii="Times New Roman" w:hAnsi="Times New Roman"/>
          <w:szCs w:val="24"/>
        </w:rPr>
      </w:pPr>
    </w:p>
    <w:p w:rsidR="0074046D" w:rsidRDefault="0074046D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404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46D" w:rsidRDefault="00AE457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46D" w:rsidRDefault="0074046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46D" w:rsidRDefault="00AE457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74046D" w:rsidRDefault="0074046D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74046D" w:rsidRDefault="0074046D">
      <w:pPr>
        <w:jc w:val="center"/>
        <w:rPr>
          <w:rFonts w:ascii="Times New Roman" w:hAnsi="Times New Roman"/>
          <w:szCs w:val="24"/>
        </w:rPr>
      </w:pPr>
    </w:p>
    <w:p w:rsidR="0074046D" w:rsidRDefault="0074046D">
      <w:pPr>
        <w:jc w:val="center"/>
        <w:rPr>
          <w:rFonts w:ascii="Times New Roman" w:hAnsi="Times New Roman"/>
          <w:szCs w:val="24"/>
        </w:rPr>
      </w:pPr>
    </w:p>
    <w:p w:rsidR="0074046D" w:rsidRDefault="0074046D">
      <w:pPr>
        <w:jc w:val="center"/>
        <w:rPr>
          <w:rFonts w:ascii="Times New Roman" w:hAnsi="Times New Roman"/>
          <w:szCs w:val="24"/>
        </w:rPr>
      </w:pPr>
    </w:p>
    <w:p w:rsidR="0074046D" w:rsidRDefault="00AE4576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74046D" w:rsidRDefault="00AE4576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74046D" w:rsidRDefault="00AE4576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59"/>
        <w:gridCol w:w="1521"/>
        <w:gridCol w:w="683"/>
        <w:gridCol w:w="2678"/>
        <w:gridCol w:w="572"/>
        <w:gridCol w:w="381"/>
        <w:gridCol w:w="439"/>
        <w:gridCol w:w="516"/>
        <w:gridCol w:w="172"/>
        <w:gridCol w:w="785"/>
        <w:gridCol w:w="1349"/>
      </w:tblGrid>
      <w:tr w:rsidR="0074046D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74046D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</w:tr>
      <w:tr w:rsidR="0074046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74046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Vandinês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Gremaschi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Canassa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74046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74046D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Zaze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AE4576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74046D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046D" w:rsidRDefault="0074046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046D" w:rsidRDefault="0074046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74046D" w:rsidRDefault="0074046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046D" w:rsidRDefault="0074046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046D" w:rsidRDefault="0074046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046D" w:rsidRDefault="0074046D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74046D">
        <w:trPr>
          <w:trHeight w:val="567"/>
        </w:trPr>
        <w:tc>
          <w:tcPr>
            <w:tcW w:w="101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74046D" w:rsidRDefault="00AE4576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6ª REUNIÃO ORDINÁRIA 2022 DA CEP-CAU/PR</w:t>
            </w:r>
          </w:p>
          <w:p w:rsidR="0074046D" w:rsidRDefault="00AE4576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74046D" w:rsidRPr="00B53151" w:rsidRDefault="00AE4576" w:rsidP="0020527B">
            <w:pPr>
              <w:widowControl w:val="0"/>
              <w:spacing w:after="120"/>
              <w:ind w:firstLine="0"/>
              <w:rPr>
                <w:rFonts w:ascii="Times New Roman" w:hAnsi="Times New Roman"/>
                <w:b/>
                <w:bCs/>
                <w:szCs w:val="24"/>
              </w:rPr>
            </w:pPr>
            <w:r w:rsidRPr="00B53151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B53151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B25C08" w:rsidRPr="00B53151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</w:t>
            </w:r>
            <w:r w:rsidR="00B53151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nº </w:t>
            </w:r>
            <w:r w:rsidR="00B25C08" w:rsidRPr="00B53151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1423555/2021 - </w:t>
            </w:r>
            <w:r w:rsidR="0020527B" w:rsidRPr="00B53151">
              <w:rPr>
                <w:rFonts w:ascii="Times New Roman" w:hAnsi="Times New Roman"/>
                <w:b/>
              </w:rPr>
              <w:t xml:space="preserve">Relatório e Voto </w:t>
            </w:r>
            <w:r w:rsidRPr="00B53151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nº 1000140704/2021.</w:t>
            </w:r>
          </w:p>
          <w:p w:rsidR="00B53151" w:rsidRDefault="00AE4576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B53151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 w:rsidRPr="00B53151"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  <w:r w:rsidR="00B53151">
              <w:rPr>
                <w:rFonts w:ascii="Times New Roman" w:eastAsia="Cambria" w:hAnsi="Times New Roman"/>
                <w:szCs w:val="24"/>
              </w:rPr>
              <w:t xml:space="preserve"> </w:t>
            </w:r>
          </w:p>
          <w:p w:rsidR="0074046D" w:rsidRDefault="00AE4576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74046D" w:rsidRDefault="00AE4576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Ap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Junior</w:t>
            </w:r>
          </w:p>
        </w:tc>
      </w:tr>
    </w:tbl>
    <w:p w:rsidR="0074046D" w:rsidRDefault="0074046D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74046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60" w:rsidRDefault="00897A60">
      <w:pPr>
        <w:spacing w:after="0" w:line="240" w:lineRule="auto"/>
      </w:pPr>
      <w:r>
        <w:separator/>
      </w:r>
    </w:p>
  </w:endnote>
  <w:endnote w:type="continuationSeparator" w:id="0">
    <w:p w:rsidR="00897A60" w:rsidRDefault="0089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D" w:rsidRDefault="0074046D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D" w:rsidRDefault="00AE457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74046D" w:rsidRDefault="00AE457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74046D" w:rsidRDefault="00AE457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D" w:rsidRDefault="00AE457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74046D" w:rsidRDefault="00AE457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74046D" w:rsidRDefault="00AE457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60" w:rsidRDefault="00897A60">
      <w:pPr>
        <w:spacing w:after="0" w:line="240" w:lineRule="auto"/>
      </w:pPr>
      <w:r>
        <w:separator/>
      </w:r>
    </w:p>
  </w:footnote>
  <w:footnote w:type="continuationSeparator" w:id="0">
    <w:p w:rsidR="00897A60" w:rsidRDefault="0089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40844"/>
      <w:docPartObj>
        <w:docPartGallery w:val="Page Numbers (Top of Page)"/>
        <w:docPartUnique/>
      </w:docPartObj>
    </w:sdtPr>
    <w:sdtEndPr/>
    <w:sdtContent>
      <w:p w:rsidR="0074046D" w:rsidRDefault="00AE4576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53151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5315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74046D" w:rsidRDefault="0074046D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5EE4"/>
    <w:multiLevelType w:val="multilevel"/>
    <w:tmpl w:val="4EE645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D4758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6D"/>
    <w:rsid w:val="00171745"/>
    <w:rsid w:val="0020527B"/>
    <w:rsid w:val="0074046D"/>
    <w:rsid w:val="00897A60"/>
    <w:rsid w:val="00AE4576"/>
    <w:rsid w:val="00B25C08"/>
    <w:rsid w:val="00B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3E5A-6A5F-4435-9315-F4AC38F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2022-07-25T20:41:00Z</cp:lastPrinted>
  <dcterms:created xsi:type="dcterms:W3CDTF">2022-03-16T12:25:00Z</dcterms:created>
  <dcterms:modified xsi:type="dcterms:W3CDTF">2022-07-25T20:50:00Z</dcterms:modified>
  <dc:language>pt-BR</dc:language>
</cp:coreProperties>
</file>