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7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1"/>
        <w:gridCol w:w="2781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 de julho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17h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Aprovação da súmula n°6 da reunião ordinária da CEF/PR.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Ofício 028.2022 - Convite: 1ª Seminário Nacional de Patrimônio - Ouro Preto - MG, de 13/07 à 16/07/2022. (Gerente do CAU Lucas participou).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Ofício 007.2022 - Pres. - CAU/PR: Del. Plenária CAU/RS, sobre abertura de processo de registro profissional para egressos de cursos de Arquitetura e Urbanismo, oferecidos no formato de EAD.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Prot. 1558769/2022 - Cálculo de tempestividade - IES de outros estados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Prot. 1559714/2022 - Cálculo de tempestividade - IES de outros estados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Prot. 1549720/2022 – Cálculo de tempestividade -IES de outros estados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Informe: </w:t>
            </w:r>
            <w:r>
              <w:rPr>
                <w:b/>
                <w:bCs/>
                <w:w w:val="99"/>
                <w:kern w:val="0"/>
                <w:sz w:val="22"/>
                <w:szCs w:val="22"/>
                <w:lang w:eastAsia="en-US" w:bidi="ar-SA"/>
              </w:rPr>
              <w:t>Prot. 1562609/2022 – Deliberação CEF/BR 013.2022 - Análise de   PPCs.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CEF/BR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</w:t>
            </w:r>
          </w:p>
        </w:tc>
      </w:tr>
      <w:tr>
        <w:trPr>
          <w:trHeight w:val="258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jc w:val="both"/>
              <w:rPr>
                <w:rFonts w:ascii="Times New Roman" w:hAnsi="Times New Roman" w:eastAsia="Times New Roman"/>
                <w:bCs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A deliberação reitera o posicionamento de que são necessárias correlações quantitativas e qualitativas da formação e dos processos de ensino-aprendizagem em sua relação com as atribuições e o exercício profissional.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jc w:val="both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Indica que, para o registro de egressos, em atendimento às disposições legais e regimentais, é fundamental que os CAU/UF procedam a análise dos Projetos Políticos Pedagógicos dos cursos de arquitetura e urbanismo e se pronunciem no que diz respeito aos seus efeitos nas atribuições e no exercício profissional.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jc w:val="both"/>
              <w:rPr>
                <w:rFonts w:ascii="Times New Roman" w:hAnsi="Times New Roman" w:eastAsia="Times New Roman"/>
                <w:bCs/>
                <w:sz w:val="22"/>
                <w:szCs w:val="22"/>
                <w:lang w:val="pt-BR" w:eastAsia="pt-BR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A CEF/BR poderá disponibilizar os Projetos Políticos Pedagógicos dos cursos de arquitetura e urbanismo já cadastrados no CAU aos CAU/UF, mediante solicitação.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jc w:val="both"/>
              <w:rPr>
                <w:lang w:val="pt-BR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Indicar que as análises realizadas pelos CAU/UF sejam encaminhadas à CEF-CAU/BR. A CEF/PR fará uma divisão com os conselheiros quanto aos PPCs, iniciando as análises nos próximos meses.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10"/>
        <w:gridCol w:w="7215"/>
      </w:tblGrid>
      <w:tr>
        <w:trPr>
          <w:tblHeader w:val="true"/>
          <w:trHeight w:val="20" w:hRule="atLeast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Solicitação de Parceria: IPOG – Instituto de Educação Superior.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  <w:t>Foi recebido um pedido de parceria da IPOG Paraná, na realização de curso de pós-graduação para arquitetos e Urbanistas registrados e adimplentes no CAU, assim como para funcionários. A CEF, decide pelo indeferimento na solicitação neste momento, até que os procedimentos sejam definidos.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Atribuição de Título: Engenharia de Segurança do Trabalho. Prot. 1505792.2022 - Prot. 1198041.2022 -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Francine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Em análise as solicitações recebidas para atribuição de título, foi constatado o atendimento dos requisitos necessários pelos (as) profissionais. Apresentaram a comprovação de conclusão do curso e das horas práticas realizadas com declaração e confirmação de veracidade pela instituição de ensino. Em analise verificou-se que os processos estão conforme é previsto na Deliberação 017.2020 CEF-CAU/BR, parecer CFE nº 19/1987 e parecer CNE/CES nº 96/2008, que estabelece o currículo mínimo para os cursos de especialização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 xml:space="preserve">lato sensu </w:t>
            </w:r>
            <w:r>
              <w:rPr>
                <w:kern w:val="0"/>
                <w:sz w:val="22"/>
                <w:szCs w:val="22"/>
                <w:lang w:eastAsia="en-US" w:bidi="ar-SA"/>
              </w:rPr>
              <w:t>em Engenharia e Segurança do Trabalho;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before="0" w:after="0"/>
              <w:ind w:left="113" w:hanging="0"/>
              <w:jc w:val="both"/>
              <w:rPr>
                <w:rFonts w:cs="Calibri"/>
                <w:color w:val="0C0B0B"/>
              </w:rPr>
            </w:pP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A comprovação de veracidade das informações foi recebida através de consulta via e-mail, procedimento comum realizado pelos (a) analistas da CEF/UF de registro, que confirma a conclusão do curso pelo profissional, o atendimento quanto a realização de práticas e estágio se houver, grade curricular, horas de curso. Para finalização, apresenta-se as planilhas de conferência criada pela CEF-CAU/BR. Portanto, a </w:t>
            </w:r>
            <w:r>
              <w:rPr>
                <w:rFonts w:cs="Calibri"/>
                <w:b/>
                <w:bCs/>
                <w:color w:val="0C0B0B"/>
                <w:kern w:val="0"/>
                <w:sz w:val="22"/>
                <w:szCs w:val="22"/>
                <w:lang w:eastAsia="en-US" w:bidi="ar-SA"/>
              </w:rPr>
              <w:t>CEF/PR delibera</w:t>
            </w: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 pelo deferimento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/>
                <w:color w:val="0C0B0B"/>
                <w:kern w:val="0"/>
                <w:sz w:val="22"/>
                <w:szCs w:val="22"/>
                <w:lang w:eastAsia="en-US" w:bidi="ar-SA"/>
              </w:rPr>
              <w:t xml:space="preserve">dos pedidos acima mencionados, atribuindo o título requerido a cada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>profissional com base na análise realizada nos documentos anexados em seu protocolo.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Análise de Editais – Projetos 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rFonts w:cs="Calibri"/>
                <w:color w:val="0C0B0B"/>
              </w:rPr>
            </w:pP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Foi solicitado aos membros da CEF/PR, para que fizessem pesquisas na internet sobre a divulgação de editais de concurso de TFG, comunicação visual, e contratação de docentes, onde a CEF está responsável pela aprovação destes editais dos concursos. A continuidade neste trabalho até a próxima reunião será via e-mail e WhatsApp. Os conselheiros dividiram as demandas relacionadas aos editais para ajuste nas orientações.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125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6"/>
        <w:gridCol w:w="7258"/>
      </w:tblGrid>
      <w:tr>
        <w:trPr>
          <w:tblHeader w:val="true"/>
          <w:trHeight w:val="170" w:hRule="atLeast"/>
        </w:trPr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Programação do Encontro de Coordenadores de curso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</w:t>
            </w:r>
          </w:p>
        </w:tc>
      </w:tr>
      <w:tr>
        <w:trPr>
          <w:trHeight w:val="170" w:hRule="atLeast"/>
        </w:trPr>
        <w:tc>
          <w:tcPr>
            <w:tcW w:w="1866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rFonts w:eastAsia="MS Mincho" w:cs="Calibri" w:cstheme="minorHAnsi"/>
                <w:bCs/>
                <w:szCs w:val="24"/>
                <w:lang w:eastAsia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  <w:t>A CEF/PR decide pela realização do IX Encontro de Coordenadores de Curso de Arquitetura e Urbanismo do Paraná, previsto para os dias 14 e15 de outubro de 2022. O orçamento e os procedimentos para o convite dos participantes e dos palestrantes serão definidos no mês de agosto, na próxima reunião da CEF-CAU/PR, e posteriormente com o Gabinete junto à gerência do Conselho. O evento será realizado em formato híbrido em Curitiba, possivelmente no Solar do Rosário, no Largo da Ordem. A CEF-CAU/PR irá arcar com as despesas dos palestrantes, bem como com o transporte rodoviário e estadia dos participantes do interior. O valor da ajuda de custo será definido com o setor financeiro e gerência do CAU/PR. Será oferecido um coffee break. Decidem por convidar um(a) representante da CEF-CAU/BR, do MEC, da FENEA, e também a arquiteta Glória Cabral para proferir</w:t>
            </w:r>
            <w:r>
              <w:rPr>
                <w:kern w:val="0"/>
                <w:sz w:val="23"/>
                <w:szCs w:val="22"/>
                <w:lang w:val="pt-BR" w:eastAsia="en-US" w:bidi="ar-SA"/>
              </w:rPr>
              <w:t xml:space="preserve"> a primeira palestra.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/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Pato Branco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25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julho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7ª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25.07.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n° 6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(X),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(4)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DB2293D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20720" cy="22669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0200" cy="226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99.95pt;margin-top:64.5pt;width:253.5pt;height:17.75pt;mso-wrap-style:square;v-text-anchor:top;mso-position-horizontal:center;mso-position-horizontal-relative:margin;mso-position-vertical-relative:page" wp14:anchorId="4DB2293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4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DB2293D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20720" cy="22669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0200" cy="226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99.95pt;margin-top:64.5pt;width:253.5pt;height:17.75pt;mso-wrap-style:square;v-text-anchor:top;mso-position-horizontal:center;mso-position-horizontal-relative:margin;mso-position-vertical-relative:page" wp14:anchorId="4DB2293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3</Pages>
  <Words>949</Words>
  <Characters>5451</Characters>
  <CharactersWithSpaces>6302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2022-08-22T18:38:00Z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2022-08-22T18:40:00Z</dcterms:modified>
  <cp:revision>3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