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1369191/2021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Interrupção do registro profissional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 D.B.G.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eastAsia="Arial" w:cs="Times New Roman" w:ascii="Times New Roman" w:hAnsi="Times New Roman"/>
          <w:color w:val="000000"/>
          <w:sz w:val="22"/>
          <w:szCs w:val="24"/>
          <w:lang w:eastAsia="pt-BR"/>
        </w:rPr>
        <w:t>0</w:t>
      </w:r>
      <w:r>
        <w:rPr>
          <w:rFonts w:cs="Times New Roman" w:ascii="Times New Roman" w:hAnsi="Times New Roman"/>
          <w:sz w:val="22"/>
          <w:szCs w:val="24"/>
        </w:rPr>
        <w:t>9 de dezembro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Deferir a interrupção.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369191/2021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564011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LibreOffice/7.2.2.2$Windows_X86_64 LibreOffice_project/02b2acce88a210515b4a5bb2e46cbfb63fe97d56</Application>
  <AppVersion>15.0000</AppVersion>
  <Pages>2</Pages>
  <Words>427</Words>
  <Characters>2390</Characters>
  <CharactersWithSpaces>2770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2020-11-05T20:04:00Z</cp:lastPrinted>
  <dcterms:modified xsi:type="dcterms:W3CDTF">2021-12-22T09:50:05Z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