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1347717/2021 – Processo de Fiscalização n° 1000129855/2021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Ausência de Registro no CAU e CREA (PJ)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A. &amp; S. L.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54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a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a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Licyane Cordeiro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 xml:space="preserve">Acompanhar o voto do conselheiro relator, no sentido indeferir a defesa e manter o auto de infração, 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</w:t>
      </w: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 xml:space="preserve"> a multa.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cópia do processo ao Ministério Público para apuração de violação à Lei de Contravenções Penais.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1347717/2021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6613801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LibreOffice/7.2.2.2$Windows_X86_64 LibreOffice_project/02b2acce88a210515b4a5bb2e46cbfb63fe97d56</Application>
  <AppVersion>15.0000</AppVersion>
  <Pages>2</Pages>
  <Words>427</Words>
  <Characters>2363</Characters>
  <CharactersWithSpaces>2769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2021-12-22T11:19:27Z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