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ind w:right="139" w:hanging="0"/>
        <w:jc w:val="center"/>
        <w:rPr>
          <w:rFonts w:ascii="Times New Roman" w:hAnsi="Times New Roman" w:eastAsia="Calibri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lang w:eastAsia="en-US"/>
        </w:rPr>
        <w:t>SÚMULA</w:t>
      </w:r>
    </w:p>
    <w:p>
      <w:pPr>
        <w:pStyle w:val="Normal"/>
        <w:widowControl/>
        <w:suppressAutoHyphens w:val="false"/>
        <w:ind w:right="139" w:hanging="0"/>
        <w:jc w:val="center"/>
        <w:rPr>
          <w:rFonts w:ascii="Times New Roman" w:hAnsi="Times New Roman" w:eastAsia="Calibri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lang w:eastAsia="en-US"/>
        </w:rPr>
        <w:t xml:space="preserve">17ª REUNIÃO EXTRAORDINÁRIA CEP-CAU/PR – 2021. </w:t>
      </w:r>
    </w:p>
    <w:p>
      <w:pPr>
        <w:pStyle w:val="Normal"/>
        <w:widowControl/>
        <w:suppressAutoHyphens w:val="false"/>
        <w:ind w:right="139" w:hanging="0"/>
        <w:rPr>
          <w:rFonts w:ascii="Times New Roman" w:hAnsi="Times New Roman" w:eastAsia="Calibri"/>
          <w:b/>
          <w:b/>
          <w:bCs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u w:val="single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8"/>
        <w:gridCol w:w="399"/>
        <w:gridCol w:w="3385"/>
        <w:gridCol w:w="761"/>
        <w:gridCol w:w="600"/>
        <w:gridCol w:w="23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DATA</w:t>
            </w:r>
          </w:p>
        </w:tc>
        <w:tc>
          <w:tcPr>
            <w:tcW w:w="3784" w:type="dxa"/>
            <w:gridSpan w:val="2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09/12/2021</w:t>
            </w:r>
          </w:p>
        </w:tc>
        <w:tc>
          <w:tcPr>
            <w:tcW w:w="1361" w:type="dxa"/>
            <w:gridSpan w:val="2"/>
            <w:tcBorders>
              <w:lef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HORÁRIO</w:t>
            </w:r>
          </w:p>
        </w:tc>
        <w:tc>
          <w:tcPr>
            <w:tcW w:w="2378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8h às 12h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LOCAL</w:t>
            </w:r>
          </w:p>
        </w:tc>
        <w:tc>
          <w:tcPr>
            <w:tcW w:w="7523" w:type="dxa"/>
            <w:gridSpan w:val="5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Reunião virtual– </w:t>
            </w:r>
            <w:r>
              <w:rPr>
                <w:rFonts w:eastAsia="Calibri" w:ascii="Times New Roman" w:hAnsi="Times New Roman"/>
                <w:i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Skype </w:t>
            </w:r>
          </w:p>
        </w:tc>
      </w:tr>
      <w:tr>
        <w:trPr/>
        <w:tc>
          <w:tcPr>
            <w:tcW w:w="219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CONSELHEIROS</w:t>
            </w:r>
          </w:p>
        </w:tc>
        <w:tc>
          <w:tcPr>
            <w:tcW w:w="4146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7F7F7F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center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4146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Renê José Rodrigues Junior</w:t>
            </w:r>
          </w:p>
        </w:tc>
        <w:tc>
          <w:tcPr>
            <w:tcW w:w="2978" w:type="dxa"/>
            <w:gridSpan w:val="2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Suplente</w:t>
            </w:r>
          </w:p>
        </w:tc>
      </w:tr>
      <w:tr>
        <w:trPr/>
        <w:tc>
          <w:tcPr>
            <w:tcW w:w="219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r>
          </w:p>
        </w:tc>
        <w:tc>
          <w:tcPr>
            <w:tcW w:w="4146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Licyane Cordeiro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7F7F7F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Titular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tcW w:w="4146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Maugham Zaze </w:t>
            </w:r>
          </w:p>
        </w:tc>
        <w:tc>
          <w:tcPr>
            <w:tcW w:w="2978" w:type="dxa"/>
            <w:gridSpan w:val="2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Titular</w:t>
            </w:r>
          </w:p>
        </w:tc>
      </w:tr>
      <w:tr>
        <w:trPr>
          <w:trHeight w:val="313" w:hRule="atLeast"/>
        </w:trPr>
        <w:tc>
          <w:tcPr>
            <w:tcW w:w="219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ASSESSORIA</w:t>
            </w:r>
          </w:p>
        </w:tc>
        <w:tc>
          <w:tcPr>
            <w:tcW w:w="7124" w:type="dxa"/>
            <w:gridSpan w:val="4"/>
            <w:tcBorders>
              <w:top w:val="nil"/>
              <w:left w:val="single" w:sz="4" w:space="0" w:color="7F7F7F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Caori Nakano</w:t>
            </w:r>
          </w:p>
        </w:tc>
      </w:tr>
      <w:tr>
        <w:trPr>
          <w:trHeight w:val="31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CONVIDADOS</w:t>
            </w:r>
          </w:p>
        </w:tc>
        <w:tc>
          <w:tcPr>
            <w:tcW w:w="7124" w:type="dxa"/>
            <w:gridSpan w:val="4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Gesse F Lima, Dilécta Oliveira, Constança Lacerda Camargo, Ricardo Luiz Leites de Oliveira , dra Larissa Moneda</w:t>
              <w:tab/>
              <w:t xml:space="preserve"> e Francine Kosciuv</w:t>
            </w:r>
          </w:p>
        </w:tc>
      </w:tr>
    </w:tbl>
    <w:p>
      <w:pPr>
        <w:pStyle w:val="Normal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tbl>
      <w:tblPr>
        <w:tblStyle w:val="TabelaSimples21"/>
        <w:tblW w:w="93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31"/>
      </w:tblGrid>
      <w:tr>
        <w:trPr>
          <w:trHeight w:val="28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Ttulo7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kern w:val="0"/>
                <w:lang w:val="pt-BR" w:bidi="ar-SA"/>
              </w:rPr>
              <w:t>ORDEM DO DIA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color w:val="000000" w:themeColor="text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Abertura/ Comunicados Coordenador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 da Comissão de Exercício Profissional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ind w:left="389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Coordenador Ormy Leocádio Hütner Junior abriu a reunião virtualmente</w:t>
            </w:r>
          </w:p>
          <w:p>
            <w:pPr>
              <w:pStyle w:val="ListParagraph"/>
              <w:keepLines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ind w:left="389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conselheiro Maugham absteve da primeira pauta pois não acompanhou toda leitura.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ind w:left="389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Os membros da CEF adentraram na reunião as 10:40 assim como a dra. Larissa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1424003/2021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 xml:space="preserve">GETEC - </w:t>
            </w:r>
            <w:r>
              <w:rPr>
                <w:rFonts w:eastAsia="Calibri" w:ascii="Times New Roman" w:hAnsi="Times New Roman" w:eastAsiaTheme="minorHAnsi"/>
                <w:kern w:val="0"/>
                <w:sz w:val="22"/>
                <w:szCs w:val="22"/>
                <w:lang w:val="pt-BR" w:eastAsia="en-US" w:bidi="ar-SA"/>
              </w:rPr>
              <w:t>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encaminhamento do RRT EXTEMPORÂNEO em análise no CAU/PR.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ind w:left="567" w:hanging="283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 e permitir que o profissional emita RRT extemporâneo desde que seja um para cada endereço.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ind w:left="56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esta deliberação à Presidência do CAU/PR, para conhecimento.</w:t>
            </w:r>
          </w:p>
          <w:p>
            <w:pPr>
              <w:pStyle w:val="ListParagraph"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126/2021 – CEP-CAU/PR</w:t>
            </w:r>
          </w:p>
          <w:p>
            <w:pPr>
              <w:pStyle w:val="ListParagraph"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Destino de tramitação: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1073590/2020 -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FF" w:val="clear"/>
                <w:lang w:val="pt-BR" w:bidi="ar-SA"/>
              </w:rPr>
              <w:t>processo de fiscalização nº 1000100214/2020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Registro no CAU PJ – O. De  M. - L. E.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Ormy Leocádio Hütner Junior</w:t>
            </w:r>
          </w:p>
        </w:tc>
      </w:tr>
      <w:tr>
        <w:trPr>
          <w:trHeight w:val="1402" w:hRule="atLeast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  e indeferir a defesa e manter o auto de infração e multa, pois não houve regularização.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Encaminhar esta deliberação à Presidência do CAU/PR, para conhecimento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127/2021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Destino de tramitação: GETEC 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Protocolo nº </w:t>
            </w:r>
            <w:r>
              <w:rPr>
                <w:rFonts w:eastAsia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1342284/2021 - </w:t>
            </w: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processo de fiscalização nº 1000129276/2021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212" w:hRule="atLeast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Registro no CAU PJ- G. P. C. - C. E S. DE E. E.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kern w:val="0"/>
                <w:lang w:val="pt-BR" w:bidi="ar-SA"/>
              </w:rPr>
              <w:t>Ormy Leocádio Hütner Junior</w:t>
            </w:r>
          </w:p>
        </w:tc>
      </w:tr>
      <w:tr>
        <w:trPr>
          <w:trHeight w:val="1402" w:hRule="atLeast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 indeferir a defesa e manter o auto de infração e multa, pois não houve regularização.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Encaminhar esta deliberação à Presidência do CAU/PR, para conhecimento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128/2021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Destino de tramitação: GETEC 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Protocolo nº </w:t>
            </w:r>
            <w:r>
              <w:rPr>
                <w:rFonts w:eastAsia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  <w:t xml:space="preserve">1294417/2021 - </w:t>
            </w: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processo de fiscalização nº 1000123702/2021.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Registro Profissional Suspenso – I. B. D.S.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Deferir a defesa e arquivar o processo.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Encaminhar esta deliberação à Presidência do CAU/PR, para conhecimento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129/2021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Destino de tramitação: GETEC 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6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Protocolo nº </w:t>
            </w:r>
            <w:r>
              <w:rPr>
                <w:rFonts w:eastAsia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1314603/2021 - </w:t>
            </w: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processo de fiscalização nº 1000125897/2021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RRT- F. M.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 indeferir a defesa e manter o auto de infração e multa visto que não houve regularização.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Encaminhar esta deliberação à Presidência do CAU/PR, para conhecimento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130/2021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Destino de tramitação: GETEC 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Protocolo nº </w:t>
            </w:r>
            <w:r>
              <w:rPr>
                <w:rFonts w:eastAsia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1340925/2021 - </w:t>
            </w: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processo de fiscalização nº 1000128714/2021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Exercício Ilegal da Profissão (PF) – B. C. P.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>
          <w:trHeight w:val="2061" w:hRule="atLeast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 indeferir a defesa e manter o auto de infração e multa visto que não houve regularização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para a CED/PR para verificação de possíveis infrações ao Código de Ética e Disciplina.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esta deliberação à Presidência do CAU/PR, para conhecimento.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131/2021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Destino de tramitação: GETEC e CED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8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1331554/2021.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Interrupção do registro profissional</w:t>
            </w: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 H. B. M.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 comissão deliberou: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uppressAutoHyphens w:val="true"/>
              <w:spacing w:before="0" w:after="0"/>
              <w:ind w:left="907" w:hanging="39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Deferir a interrupção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uppressAutoHyphens w:val="true"/>
              <w:spacing w:before="0" w:after="0"/>
              <w:ind w:left="907" w:hanging="39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para apreciação da plenária do CAU/PR.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uppressAutoHyphens w:val="true"/>
              <w:spacing w:before="0" w:after="0"/>
              <w:ind w:left="907" w:hanging="39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Encaminhar esta deliberação à Presidência do CAU/PR, para conhecimento e encaminhamento. 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151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132/2021 – CEP-CAU/PR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151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Destino de tramitação:  PLENÁRIA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9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1363083/2021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Interrupção do registro profissional</w:t>
            </w: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 C.B.K.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754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 comissão deliberou:</w:t>
            </w:r>
          </w:p>
          <w:p>
            <w:pPr>
              <w:pStyle w:val="ListParagraph"/>
              <w:widowControl w:val="false"/>
              <w:numPr>
                <w:ilvl w:val="1"/>
                <w:numId w:val="18"/>
              </w:numPr>
              <w:suppressAutoHyphens w:val="true"/>
              <w:spacing w:before="0" w:after="0"/>
              <w:ind w:left="907" w:hanging="39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Deferir a interrupção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uppressAutoHyphens w:val="true"/>
              <w:spacing w:before="0" w:after="0"/>
              <w:ind w:left="907" w:hanging="39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para apreciação da plenária do CAU/PR.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uppressAutoHyphens w:val="true"/>
              <w:spacing w:before="0" w:after="0"/>
              <w:ind w:left="907" w:hanging="39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Encaminhar esta deliberação à Presidência do CAU/PR, para conhecimento e encaminhamento. 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151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133/2021 – CEP-CAU/PR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151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Destino de tramitação:  PLENÁRIA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  <w:t xml:space="preserve">                            </w:t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10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1358213/2021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Atribuição pavimentação poliédrica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Maugham Zaze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Considerando o questionamento da profissional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Jéssica Santos do Nascimento, pois é entendido que arquiteto pode projeto e execução de pavimentação desde que não seja asfáltica ou de concreto.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2"/>
                <w:szCs w:val="22"/>
                <w:lang w:val="pt-BR" w:eastAsia="pt-BR" w:bidi="ar-SA"/>
              </w:rPr>
              <w:t>Considerando que o art. 2º da Lei nº 12.378, de 31 de dezembro de 2010, estabelece as atividades, atribuições e campos de atuação do arquiteto e urbanista, e que o art. 3º esclarece que os campos de atuação profissional para o exercício da Arquitetura e Urbanismo são definidos a partir das Diretrizes Curriculares Nacionais;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2"/>
                <w:szCs w:val="22"/>
                <w:lang w:val="pt-BR" w:eastAsia="pt-BR" w:bidi="ar-SA"/>
              </w:rPr>
              <w:t>Considerando que a Resolução CAU/BR nº 21, de 05 de abril de 2012, detalha e tipifica o rol de atividades técnicas de atribuição do arquiteto e urbanista para fins de Registro de Responsabilidade Técnica (RRT) no CAU;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Considerando a deliberação plenária nº 2</w:t>
            </w:r>
            <w:r>
              <w:rPr>
                <w:rFonts w:eastAsia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4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/2021 de 8 de julho de 2021: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eastAsia="Calibri" w:ascii="Times New Roman" w:hAnsi="Times New Roman"/>
                <w:i/>
                <w:iCs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Deliberações da CEP-CAU/BR com data anterior a 23 de outubro de 2020, que contenham restrições ou limitações às atribuições e atividades profissionais dos arquitetos e urbanistas, NÂO são válidas para aplicação por parte dos CAU/UF, ratificando que, a partir da edição da DPAEBR nº 006-03/2020, passou a prevalecer as orientações e entendimentos dispostos nesta Deliberação Plenária do CAU/BR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;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DELIBERA: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Informar à solicitante que arquitetos e urbanistas tem atribuição para realizar a execução de pavimentação poliédrica, conforme resolução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nº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21/2021 do CAUBR.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para apreciação da plenária do CAU/PR.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esta deliberação à Presidência do CAU/PR, para conhecimento.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134/2021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Destino de tramitação: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PLENÁRIA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trHeight w:val="165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11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1397183/2021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Execução de proteção radiológica (blindagem/radioproteção)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kern w:val="0"/>
                <w:sz w:val="22"/>
                <w:szCs w:val="22"/>
                <w:lang w:val="pt-BR" w:eastAsia="pt-BR" w:bidi="ar-SA"/>
              </w:rPr>
              <w:t>Renê José Rodrigues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Em recente análise do RRT extemporâneo n° 11073281, fez-se necessária a consulta à RIA (GAD) para elucidação de dúvida acerca de atribuição profissional.</w:t>
              <w:br/>
              <w:t>O questionamento feito foi o seguinte, conforme anexo:</w:t>
              <w:br/>
              <w:t>"Prezados,</w:t>
              <w:br/>
              <w:t>Em conformidade com o item 2(e) da deliberação n° 024/2021-CEP-CAU/BR, questionamos se os profissionais arquitetos e urbanistas possuem atribuição para:</w:t>
              <w:br/>
              <w:t>1) Projeto de proteção radiológica (blindagem/radioproteção);</w:t>
              <w:br/>
              <w:t>2) Execução de proteção radiológica (blindagem/radioproteção).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Tal solicitação se dá para análise do RRT extemporâneo n° 11073281,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(Protocolo nº1377475), que conforme RRT e Projeto (anexos) descreve/indica a realização essas atividades.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Agradecemos antecipadamente.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Atenciosamente,"</w:t>
              <w:br/>
              <w:t>Em resposta à solicitação, a coordenadora da Rede Integrada de Atendimento informou que não possui orientação a respeito do assunto, e recomendou a consulta à comissão pertinente.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Desta forma, encaminho a dúvida por meio deste para que seja consultada a Comissão de Exercício Profissional do CAU/PR e, posteriormente, a Comissão de Exercício Profissional do CAU/BR, de acordo com a DPAE 006-03/20.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DELIBERA: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Informar o solicitante de que Arquiteto e Urbanista tem atribuição para execução de obra de projeto de proteção radiológica.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Com relação ao projeto de proteção radiológica foi definido na deliberação 68/2021 de que arquiteto não tem atribuição, mas aguarda resposta do CAUBR.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para apreciação da plenária do CAU/PR.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esta deliberação à Presidência do CAU/PR, para conhecimento e encaminhamento.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</w:t>
            </w: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eliberação Nº 135/2021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Destino de tramitação: </w:t>
            </w: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PLENÁRIA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12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1386006/2021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Manutenção de aparelhos de ar-condicionado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kern w:val="0"/>
                <w:sz w:val="22"/>
                <w:szCs w:val="22"/>
                <w:lang w:val="pt-BR" w:eastAsia="pt-BR" w:bidi="ar-SA"/>
              </w:rPr>
              <w:t>Renê José Rodrigues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  <w:t>Em recente análise do RRT extemporâneo n° 11080131, fez-se necessária a consulta à RIA (GAD) para elucidação de dúvida acerca de atribuição profissional.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  <w:t>O questionamento feito foi o seguinte, conforme anexo: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  <w:t>Prezados,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  <w:t>Em conformidade com o item 2(e) da deliberação n° 024/2021-CEP-CAU/BR, questionamos se os profissionais arquitetos e urbanistas possuem atribuição para:</w:t>
              <w:br/>
              <w:t>1) Elaboração de PMOC (Plano de Manutenção, Operação e Controle), estabelecido pela lei n° 13.589/2018;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  <w:t>2) Manutenção de aparelho de ar condicionado, inclusive checagem de fluidos e medição de pressão e de corrente elétrica.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  <w:t>Tal solicitação se dá para análise do RRT extemporâneo n° 11080131.</w:t>
              <w:br/>
              <w:t>Agradecemos antecipadamente.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  <w:t>Em resposta à solicitação, a coordenadora da Rede Integrada de Atendimento informou que há orientação sobre a possibilidade dos arquitetos e urbanistas serem responsáveis técnicos pelo PMOC (deliberação anexa).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  <w:t>No entanto, ela informou que não possui orientação a respeito da manutenção de aparelhos de ar-condicionado, embora entenda tecnicamente que haja a atribuição, e informou que para orientação formal seria necessária a consulta à comissão pertinente.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eastAsia="Calibri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  <w:t>Desta forma, encaminho a dúvida por meio deste para que seja consultada a Comissão de Exercício Profissional do CAU/PR e, posteriormente, a Comissão de Exercício Profissional do CAU/BR, de acordo com a DPAE 006-03/20.</w:t>
              <w:br/>
              <w:t>DELIVERA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Informar o solicitante de que arquiteto urbanista tem atribuição para </w:t>
            </w: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Manutenção de aparelhos de ar-condicionado. Conforme deliberação do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24/2021-CEP-CAU/BR,</w:t>
            </w: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para apreciação da plenária do CAU/PR.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esta deliberação à Presidência do CAU/PR, para conhecimento e encaminhamento.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136/2021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Destino de tramitação: PLENÁRIA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13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1384792/2021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pt-BR" w:bidi="ar-SA"/>
              </w:rPr>
              <w:t>DÚVIDAS SOBRE ATRIBUIÇÃO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Cs/>
                <w:kern w:val="0"/>
                <w:sz w:val="22"/>
                <w:szCs w:val="22"/>
                <w:lang w:val="pt-BR" w:eastAsia="pt-BR" w:bidi="ar-SA"/>
              </w:rPr>
              <w:t>Renê José Rodrigues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Em recente análise do RRT extemporâneo n° 10961195, fez-se necessária a consulta à RIA (GAD) para elucidação de dúvida acerca de atribuição profissional.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O questionamento feito foi o seguinte, conforme anexo: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"Prezados,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Em conformidade com o item 2(e) da deliberação n° 024/2021-CEP-CAU/BR, em anexo, e considerando que a deliberação n° 004/2019-CEP–CAU/BR não é considerada válida de acordo com o item 2(c) da deliberação n° 024/2021-CEP-CAU/BR, questionamos se os profissionais arquitetos e urbanistas possuem atribuição para: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510" w:leader="none"/>
              </w:tabs>
              <w:suppressAutoHyphens w:val="true"/>
              <w:spacing w:before="0" w:after="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1) Instalação de minigeração de energia Solar Fotovoltaica;</w:t>
              <w:br/>
              <w:t>2) Fiscalização de obras de Instalação de minigeração de energia Solar Fotovoltaica.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Agradecemos antecipadamente."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Em resposta à solicitação, a coordenadora da Rede Integrada de Atendimento informou que não possui orientação a respeito do assunto, e recomendou a consulta à comissão pertinente.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Desta forma, encaminho a dúvida por meio deste para que seja consultada a Comissão de Exercício Profissional do CAU/PR e, posteriormente, a Comissão de Exercício Profissional do CAU/BR, de acordo com a DPAE 006-03/20. 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DELIBERAÇÃO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Encaminhar para o CAUBR o questionamento para que não haja divergências entre os outros CAUUF.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para apreciação da plenária do CAU/PR.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esta deliberação à Presidência do CAU/PR, para conhecimento e encaminhamento.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137/2021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Destino de tramitação: </w:t>
            </w: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CAUBR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14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1227057/2021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Interrupção do registro profissional</w:t>
            </w: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D.P.R.A.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 comissão deliberou: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Indeferir o pedido de interrupção pois em consulta em um site ligada a profissional verificou que ela é sócia de uma empresa.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Solicitar a fiscalização que faça um diligenciamento a </w:t>
            </w: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CRIARQUI.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para apreciação da plenária do CAU/PR.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esta deliberação à Presidência do CAU/PR, para conhecimento e encaminhamento.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138/2021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Destino de tramitação: PLENÁRIA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15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1230543/2021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Interrupção do registro profissional </w:t>
            </w: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R.S.G.U.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 comissão deliberou: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Deferir a interrupção.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para apreciação da plenária do CAU/PR.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esta deliberação à Presidência do CAU/PR, para conhecimento e encaminhamento.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139/2021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Destino de tramitação: PLENÁRIA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16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1369191/2021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Interrupção do registro profissional</w:t>
            </w: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D.B.G.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A comissão deliberou: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Deferir a interrupção.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para apreciação da plenária do CAU/PR.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esta deliberação à Presidência do CAU/PR, para conhecimento e encaminhamento.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140/2021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Destino de tramitação: PLENÁRIA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17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1254321/2021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104" w:hRule="atLeast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I</w:t>
            </w:r>
            <w:r>
              <w:rPr>
                <w:rFonts w:eastAsia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nterrupção do registro</w:t>
            </w: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PROFISSIONAL CAMILA MARSCHALL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 comissão deliberou: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Indeferir a interrupção visto que a profissional não deu baixa mas RRTs.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para apreciação da plenária do CAU/PR.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esta deliberação à Presidência do CAU/PR, para conhecimento.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Nº 141/2021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Destino de tramitação: PLENÁRIA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18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Reunião conjunta CEP e CEF</w:t>
            </w:r>
          </w:p>
        </w:tc>
      </w:tr>
      <w:tr>
        <w:trPr>
          <w:trHeight w:val="104" w:hRule="atLeast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Discussão sobre empresas junior e EMAUs</w:t>
            </w:r>
          </w:p>
        </w:tc>
      </w:tr>
      <w:tr>
        <w:trPr>
          <w:trHeight w:val="10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Hütner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A reunião tratou de discutir o registro das empresas junior e das EMAUs, 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Foram levantados vários questionamentos, e a posição do da CEP e CEF sobre o seu registro e a fiscalização, foi apresentado pelo Ormy um check list para que a fiscalização possa fiscalizar estas empresas e as exigências quanto ao registro.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Ficou definido que na próxima reunião da CEP seria elaborado uma minuta e apresentada para posteriormente apreciada em plenária.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comgrade3"/>
        <w:tblW w:w="95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3"/>
      </w:tblGrid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Curitiba, 09 dezembro de 2021.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HÜTNER JUNIOR</w:t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center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comgrade3"/>
        <w:tblpPr w:vertAnchor="text" w:horzAnchor="margin" w:tblpXSpec="center" w:leftFromText="141" w:rightFromText="141" w:tblpY="76"/>
        <w:tblW w:w="44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5"/>
      </w:tblGrid>
      <w:tr>
        <w:trPr>
          <w:trHeight w:val="425" w:hRule="atLeast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CAORI NAKANO</w:t>
            </w:r>
          </w:p>
        </w:tc>
      </w:tr>
      <w:tr>
        <w:trPr>
          <w:trHeight w:val="80" w:hRule="atLeast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Assistente da Comissão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  <w:t xml:space="preserve"> 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 xml:space="preserve">17 </w:t>
      </w:r>
      <w:bookmarkStart w:id="0" w:name="_GoBack"/>
      <w:bookmarkEnd w:id="0"/>
      <w:r>
        <w:rPr>
          <w:rFonts w:eastAsia="Calibri" w:ascii="Times New Roman" w:hAnsi="Times New Roman"/>
          <w:b/>
          <w:bCs/>
          <w:sz w:val="22"/>
        </w:rPr>
        <w:t>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eastAsia="Calibri"/>
          <w:sz w:val="22"/>
        </w:rPr>
      </w:pPr>
      <w:r>
        <w:rPr>
          <w:rFonts w:eastAsia="Calibri" w:ascii="Times New Roman" w:hAnsi="Times New Roman"/>
          <w:sz w:val="22"/>
        </w:rPr>
        <w:t>Virtual</w:t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48"/>
        <w:gridCol w:w="824"/>
        <w:gridCol w:w="2642"/>
        <w:gridCol w:w="565"/>
        <w:gridCol w:w="378"/>
        <w:gridCol w:w="431"/>
        <w:gridCol w:w="508"/>
        <w:gridCol w:w="177"/>
        <w:gridCol w:w="768"/>
        <w:gridCol w:w="936"/>
      </w:tblGrid>
      <w:tr>
        <w:trPr/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17 REUNIÃO EXTRAORDINÁRIA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09/12/2021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eastAsia="Cambria" w:ascii="Times New Roman" w:hAnsi="Times New Roman"/>
                <w:b/>
                <w:bCs/>
                <w:iCs/>
                <w:sz w:val="22"/>
                <w:szCs w:val="22"/>
              </w:rPr>
              <w:t>1424003/2021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(1),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</w:t>
            </w:r>
            <w:r>
              <w:rPr>
                <w:rFonts w:eastAsia="Calibri" w:ascii="Times New Roman" w:hAnsi="Times New Roman"/>
                <w:color w:val="000000" w:themeColor="text1"/>
                <w:sz w:val="22"/>
                <w:szCs w:val="22"/>
                <w:lang w:eastAsia="en-US"/>
              </w:rPr>
              <w:t>O conselheiro Maugham absteve da primeira pauta pois não acompanhou toda leitura.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48"/>
        <w:gridCol w:w="824"/>
        <w:gridCol w:w="2641"/>
        <w:gridCol w:w="566"/>
        <w:gridCol w:w="378"/>
        <w:gridCol w:w="429"/>
        <w:gridCol w:w="509"/>
        <w:gridCol w:w="178"/>
        <w:gridCol w:w="768"/>
        <w:gridCol w:w="936"/>
      </w:tblGrid>
      <w:tr>
        <w:trPr/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17 REUNIÃO EXTRAORDINÁRIA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09/12/2021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 xml:space="preserve">Matéria em votação: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rotocolos:</w:t>
            </w:r>
            <w:r>
              <w:rPr>
                <w:rFonts w:eastAsia="Cambria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 xml:space="preserve">1073590/2020, 1342284/2021, 1314603/2021, 1340925/2021, </w:t>
            </w:r>
            <w:r>
              <w:rPr>
                <w:rFonts w:eastAsia="Times New Roman" w:ascii="Times New Roman" w:hAnsi="Times New Roman"/>
                <w:iCs/>
                <w:color w:val="000000"/>
                <w:sz w:val="22"/>
                <w:szCs w:val="22"/>
                <w:lang w:eastAsia="pt-BR"/>
              </w:rPr>
              <w:t xml:space="preserve">1331554/2021, 1363083/2021, 1358213/2021, 1397183/2021, 1386006/2021, 1384792/2021, 1227057/2021, 1230543/2021, 1369191/2021, 1254321/2021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48"/>
        <w:gridCol w:w="824"/>
        <w:gridCol w:w="2641"/>
        <w:gridCol w:w="566"/>
        <w:gridCol w:w="378"/>
        <w:gridCol w:w="429"/>
        <w:gridCol w:w="509"/>
        <w:gridCol w:w="178"/>
        <w:gridCol w:w="768"/>
        <w:gridCol w:w="936"/>
      </w:tblGrid>
      <w:tr>
        <w:trPr/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17 REUNIÃO EXTRAORDINÁRIA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09/12/2021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1294417/2021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(2),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(2),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Ocorrências: como houve empate o voto que definiu foi o do coordenador.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851" w:gutter="0" w:header="709" w:top="1418" w:footer="56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6666"/>
        <w:sz w:val="18"/>
      </w:rPr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jc w:val="center"/>
      <w:rPr>
        <w:rFonts w:ascii="Arial" w:hAnsi="Arial" w:cs="Arial"/>
        <w:b/>
        <w:b/>
        <w:color w:val="808080" w:themeColor="background1" w:themeShade="80"/>
        <w:sz w:val="18"/>
      </w:rPr>
    </w:pPr>
    <w:r>
      <w:rPr>
        <w:rFonts w:cs="Arial" w:ascii="Arial" w:hAnsi="Arial"/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>
      <w:rPr>
        <w:rFonts w:cs="Arial" w:ascii="Arial" w:hAnsi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rPr>
        <w:sz w:val="2"/>
        <w:szCs w:val="2"/>
      </w:rPr>
    </w:pPr>
    <w:r>
      <w:rPr>
        <w:sz w:val="2"/>
        <w:szCs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6666"/>
        <w:sz w:val="18"/>
      </w:rPr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jc w:val="center"/>
      <w:rPr>
        <w:rFonts w:ascii="Arial" w:hAnsi="Arial" w:cs="Arial"/>
        <w:b/>
        <w:b/>
        <w:color w:val="808080" w:themeColor="background1" w:themeShade="80"/>
        <w:sz w:val="18"/>
      </w:rPr>
    </w:pPr>
    <w:r>
      <w:rPr>
        <w:rFonts w:cs="Arial" w:ascii="Arial" w:hAnsi="Arial"/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>
      <w:rPr>
        <w:rFonts w:cs="Arial" w:ascii="Arial" w:hAnsi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93058870"/>
    </w:sdtPr>
    <w:sdtContent>
      <w:p>
        <w:pPr>
          <w:pStyle w:val="Cabealho"/>
          <w:jc w:val="right"/>
          <w:rPr>
            <w:rFonts w:cs="Calibri" w:cstheme="minorHAnsi"/>
            <w:sz w:val="20"/>
          </w:rPr>
        </w:pPr>
        <w:r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6652260" cy="630555"/>
              <wp:effectExtent l="0" t="0" r="0" b="0"/>
              <wp:wrapNone/>
              <wp:docPr id="1" name="Imagem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5226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/>
            <w:b/>
            <w:bCs/>
            <w:sz w:val="20"/>
          </w:rPr>
          <w:fldChar w:fldCharType="begin"/>
        </w:r>
        <w:r>
          <w:rPr>
            <w:sz w:val="20"/>
            <w:b/>
            <w:bCs/>
            <w:rFonts w:cs="Calibri"/>
          </w:rPr>
          <w:instrText> PAGE </w:instrText>
        </w:r>
        <w:r>
          <w:rPr>
            <w:sz w:val="20"/>
            <w:b/>
            <w:bCs/>
            <w:rFonts w:cs="Calibri"/>
          </w:rPr>
          <w:fldChar w:fldCharType="separate"/>
        </w:r>
        <w:r>
          <w:rPr>
            <w:sz w:val="20"/>
            <w:b/>
            <w:bCs/>
            <w:rFonts w:cs="Calibri"/>
          </w:rPr>
          <w:t>8</w:t>
        </w:r>
        <w:r>
          <w:rPr>
            <w:sz w:val="20"/>
            <w:b/>
            <w:bCs/>
            <w:rFonts w:cs="Calibri"/>
          </w:rPr>
          <w:fldChar w:fldCharType="end"/>
        </w:r>
        <w:r>
          <w:rPr>
            <w:rFonts w:cs="Calibri" w:cstheme="minorHAnsi"/>
            <w:sz w:val="20"/>
          </w:rPr>
          <w:t xml:space="preserve"> </w:t>
        </w:r>
        <w:r>
          <w:rPr>
            <w:rFonts w:cs="Calibri" w:cstheme="minorHAnsi"/>
            <w:sz w:val="20"/>
          </w:rPr>
          <w:t xml:space="preserve">de </w:t>
        </w:r>
        <w:r>
          <w:rPr>
            <w:rFonts w:cs="Calibri"/>
            <w:b/>
            <w:bCs/>
            <w:sz w:val="20"/>
          </w:rPr>
          <w:fldChar w:fldCharType="begin"/>
        </w:r>
        <w:r>
          <w:rPr>
            <w:sz w:val="20"/>
            <w:b/>
            <w:bCs/>
            <w:rFonts w:cs="Calibri"/>
          </w:rPr>
          <w:instrText> NUMPAGES </w:instrText>
        </w:r>
        <w:r>
          <w:rPr>
            <w:sz w:val="20"/>
            <w:b/>
            <w:bCs/>
            <w:rFonts w:cs="Calibri"/>
          </w:rPr>
          <w:fldChar w:fldCharType="separate"/>
        </w:r>
        <w:r>
          <w:rPr>
            <w:sz w:val="20"/>
            <w:b/>
            <w:bCs/>
            <w:rFonts w:cs="Calibri"/>
          </w:rPr>
          <w:t>8</w:t>
        </w:r>
        <w:r>
          <w:rPr>
            <w:sz w:val="20"/>
            <w:b/>
            <w:bCs/>
            <w:rFonts w:cs="Calibri"/>
          </w:rPr>
          <w:fldChar w:fldCharType="end"/>
        </w:r>
      </w:p>
    </w:sdtContent>
  </w:sdt>
  <w:p>
    <w:pPr>
      <w:pStyle w:val="Cabealho"/>
      <w:spacing w:lineRule="auto" w:line="192"/>
      <w:ind w:left="-567" w:hanging="0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</w:lvl>
    <w:lvl w:ilvl="1">
      <w:start w:val="1"/>
      <w:numFmt w:val="decimal"/>
      <w:lvlText w:val="%2."/>
      <w:lvlJc w:val="left"/>
      <w:pPr>
        <w:tabs>
          <w:tab w:val="num" w:pos="1186"/>
        </w:tabs>
        <w:ind w:left="1186" w:hanging="360"/>
      </w:pPr>
    </w:lvl>
    <w:lvl w:ilvl="2">
      <w:start w:val="1"/>
      <w:numFmt w:val="decimal"/>
      <w:lvlText w:val="%3."/>
      <w:lvlJc w:val="left"/>
      <w:pPr>
        <w:tabs>
          <w:tab w:val="num" w:pos="1546"/>
        </w:tabs>
        <w:ind w:left="1546" w:hanging="360"/>
      </w:pPr>
    </w:lvl>
    <w:lvl w:ilvl="3">
      <w:start w:val="1"/>
      <w:numFmt w:val="decimal"/>
      <w:lvlText w:val="%4."/>
      <w:lvlJc w:val="left"/>
      <w:pPr>
        <w:tabs>
          <w:tab w:val="num" w:pos="1906"/>
        </w:tabs>
        <w:ind w:left="1906" w:hanging="360"/>
      </w:pPr>
    </w:lvl>
    <w:lvl w:ilvl="4">
      <w:start w:val="1"/>
      <w:numFmt w:val="decimal"/>
      <w:lvlText w:val="%5."/>
      <w:lvlJc w:val="left"/>
      <w:pPr>
        <w:tabs>
          <w:tab w:val="num" w:pos="2266"/>
        </w:tabs>
        <w:ind w:left="2266" w:hanging="360"/>
      </w:pPr>
    </w:lvl>
    <w:lvl w:ilvl="5">
      <w:start w:val="1"/>
      <w:numFmt w:val="decimal"/>
      <w:lvlText w:val="%6."/>
      <w:lvlJc w:val="left"/>
      <w:pPr>
        <w:tabs>
          <w:tab w:val="num" w:pos="2626"/>
        </w:tabs>
        <w:ind w:left="2626" w:hanging="360"/>
      </w:pPr>
    </w:lvl>
    <w:lvl w:ilvl="6">
      <w:start w:val="1"/>
      <w:numFmt w:val="decimal"/>
      <w:lvlText w:val="%7."/>
      <w:lvlJc w:val="left"/>
      <w:pPr>
        <w:tabs>
          <w:tab w:val="num" w:pos="2986"/>
        </w:tabs>
        <w:ind w:left="2986" w:hanging="360"/>
      </w:pPr>
    </w:lvl>
    <w:lvl w:ilvl="7">
      <w:start w:val="1"/>
      <w:numFmt w:val="decimal"/>
      <w:lvlText w:val="%8."/>
      <w:lvlJc w:val="left"/>
      <w:pPr>
        <w:tabs>
          <w:tab w:val="num" w:pos="3346"/>
        </w:tabs>
        <w:ind w:left="3346" w:hanging="360"/>
      </w:pPr>
    </w:lvl>
    <w:lvl w:ilvl="8">
      <w:start w:val="1"/>
      <w:numFmt w:val="decimal"/>
      <w:lvlText w:val="%9."/>
      <w:lvlJc w:val="left"/>
      <w:pPr>
        <w:tabs>
          <w:tab w:val="num" w:pos="3706"/>
        </w:tabs>
        <w:ind w:left="3706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7"/>
    <w:lvlOverride w:ilvl="1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766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1fa1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false"/>
      <w:outlineLvl w:val="2"/>
    </w:pPr>
    <w:rPr>
      <w:rFonts w:ascii="Times" w:hAnsi="Times" w:eastAsia="Times New Roman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 w:val="true"/>
      <w:keepLines/>
      <w:widowControl/>
      <w:suppressAutoHyphens w:val="false"/>
      <w:spacing w:before="0" w:after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 w:val="true"/>
      <w:keepLines/>
      <w:widowControl/>
      <w:suppressAutoHyphens w:val="false"/>
      <w:spacing w:before="0" w:after="0"/>
      <w:contextualSpacing/>
      <w:jc w:val="center"/>
      <w:outlineLvl w:val="6"/>
    </w:pPr>
    <w:rPr>
      <w:rFonts w:ascii="Times New Roman" w:hAnsi="Times New Roman" w:eastAsia="Calibri"/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314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33140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7087f"/>
    <w:rPr>
      <w:rFonts w:ascii="Times" w:hAnsi="Times" w:eastAsia="Times New Roman" w:cs="Times New Roman"/>
      <w:b/>
      <w:sz w:val="27"/>
      <w:szCs w:val="20"/>
      <w:lang w:eastAsia="ar-SA"/>
    </w:rPr>
  </w:style>
  <w:style w:type="character" w:styleId="Fontepargpadro1" w:customStyle="1">
    <w:name w:val="Fonte parág. padrão1"/>
    <w:qFormat/>
    <w:rsid w:val="0087087f"/>
    <w:rPr/>
  </w:style>
  <w:style w:type="character" w:styleId="CorpodetextoChar" w:customStyle="1">
    <w:name w:val="Corpo de texto Char"/>
    <w:basedOn w:val="DefaultParagraphFont"/>
    <w:link w:val="Corpodetexto"/>
    <w:qFormat/>
    <w:rsid w:val="0087087f"/>
    <w:rPr>
      <w:rFonts w:ascii="Cambria" w:hAnsi="Cambria" w:eastAsia="MS Mincho" w:cs="Times New Roman"/>
      <w:sz w:val="24"/>
      <w:szCs w:val="24"/>
      <w:lang w:eastAsia="ar-SA"/>
    </w:rPr>
  </w:style>
  <w:style w:type="character" w:styleId="CabealhoChar1" w:customStyle="1">
    <w:name w:val="Cabeçalho Char1"/>
    <w:basedOn w:val="DefaultParagraphFont"/>
    <w:qFormat/>
    <w:rsid w:val="0087087f"/>
    <w:rPr>
      <w:rFonts w:ascii="Cambria" w:hAnsi="Cambria" w:eastAsia="MS Mincho"/>
      <w:sz w:val="24"/>
      <w:szCs w:val="24"/>
      <w:lang w:eastAsia="ar-SA"/>
    </w:rPr>
  </w:style>
  <w:style w:type="character" w:styleId="RodapChar1" w:customStyle="1">
    <w:name w:val="Rodapé Char1"/>
    <w:basedOn w:val="DefaultParagraphFont"/>
    <w:uiPriority w:val="99"/>
    <w:qFormat/>
    <w:rsid w:val="0087087f"/>
    <w:rPr>
      <w:rFonts w:ascii="Cambria" w:hAnsi="Cambria" w:eastAsia="MS Mincho"/>
      <w:sz w:val="24"/>
      <w:szCs w:val="24"/>
      <w:lang w:eastAsia="ar-SA"/>
    </w:rPr>
  </w:style>
  <w:style w:type="character" w:styleId="Linkdainternetvisitado" w:customStyle="1">
    <w:name w:val="Link da internet visitado"/>
    <w:rsid w:val="0087087f"/>
    <w:rPr>
      <w:color w:val="800080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qFormat/>
    <w:rsid w:val="0087087f"/>
    <w:rPr>
      <w:rFonts w:ascii="Cambria" w:hAnsi="Cambria" w:eastAsia="Cambria" w:cs="Times New Roman"/>
      <w:sz w:val="24"/>
      <w:szCs w:val="24"/>
      <w:lang w:eastAsia="ar-SA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87087f"/>
    <w:rPr>
      <w:vertAlign w:val="superscript"/>
    </w:rPr>
  </w:style>
  <w:style w:type="character" w:styleId="Strong">
    <w:name w:val="Strong"/>
    <w:uiPriority w:val="22"/>
    <w:qFormat/>
    <w:rsid w:val="0087087f"/>
    <w:rPr>
      <w:b/>
      <w:bCs/>
    </w:rPr>
  </w:style>
  <w:style w:type="character" w:styleId="St" w:customStyle="1">
    <w:name w:val="st"/>
    <w:basedOn w:val="DefaultParagraphFont"/>
    <w:qFormat/>
    <w:rsid w:val="0087087f"/>
    <w:rPr/>
  </w:style>
  <w:style w:type="character" w:styleId="Nfase">
    <w:name w:val="Ênfase"/>
    <w:uiPriority w:val="20"/>
    <w:qFormat/>
    <w:rsid w:val="0087087f"/>
    <w:rPr>
      <w:i/>
    </w:rPr>
  </w:style>
  <w:style w:type="character" w:styleId="Linkurl" w:customStyle="1">
    <w:name w:val="link_url"/>
    <w:basedOn w:val="DefaultParagraphFont"/>
    <w:qFormat/>
    <w:rsid w:val="0087087f"/>
    <w:rPr/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585ceb"/>
    <w:rPr>
      <w:rFonts w:eastAsia="MS Mincho" w:cs="Times New Roman"/>
      <w:sz w:val="20"/>
      <w:szCs w:val="20"/>
      <w:lang w:eastAsia="ar-SA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585ceb"/>
    <w:rPr>
      <w:vertAlign w:val="superscript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38245d"/>
    <w:rPr>
      <w:rFonts w:eastAsia="MS Mincho" w:cs="Times New Roman"/>
      <w:sz w:val="24"/>
      <w:szCs w:val="24"/>
      <w:lang w:eastAsia="ar-SA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38245d"/>
    <w:rPr>
      <w:rFonts w:eastAsia="MS Mincho" w:cs="Times New Roman"/>
      <w:sz w:val="24"/>
      <w:szCs w:val="24"/>
      <w:lang w:eastAsia="ar-SA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semiHidden/>
    <w:qFormat/>
    <w:rsid w:val="0038245d"/>
    <w:rPr>
      <w:rFonts w:eastAsia="MS Mincho" w:cs="Times New Roman"/>
      <w:sz w:val="16"/>
      <w:szCs w:val="16"/>
      <w:lang w:eastAsia="ar-SA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ar-SA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ar-SA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sz w:val="24"/>
      <w:szCs w:val="24"/>
      <w:lang w:eastAsia="ar-SA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161fa1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4f776b"/>
    <w:rPr>
      <w:rFonts w:ascii="Times New Roman" w:hAnsi="Times New Roman" w:eastAsia="MS Mincho" w:cs="Times New Roman"/>
      <w:b/>
      <w:iCs/>
      <w:lang w:eastAsia="ar-SA"/>
    </w:rPr>
  </w:style>
  <w:style w:type="character" w:styleId="Ttulo7Char" w:customStyle="1">
    <w:name w:val="Título 7 Char"/>
    <w:basedOn w:val="DefaultParagraphFont"/>
    <w:link w:val="Ttulo7"/>
    <w:uiPriority w:val="9"/>
    <w:qFormat/>
    <w:rsid w:val="00a60526"/>
    <w:rPr>
      <w:rFonts w:ascii="Times New Roman" w:hAnsi="Times New Roman" w:eastAsia="Calibri" w:cs="Times New Roman"/>
      <w:b/>
      <w:bCs/>
    </w:rPr>
  </w:style>
  <w:style w:type="character" w:styleId="Fontstyle01" w:customStyle="1">
    <w:name w:val="fontstyle01"/>
    <w:basedOn w:val="DefaultParagraphFont"/>
    <w:qFormat/>
    <w:rsid w:val="006675e4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87087f"/>
    <w:pPr>
      <w:spacing w:before="0" w:after="120"/>
    </w:pPr>
    <w:rPr>
      <w:rFonts w:ascii="Cambria" w:hAnsi="Cambria"/>
    </w:rPr>
  </w:style>
  <w:style w:type="paragraph" w:styleId="Lista">
    <w:name w:val="List"/>
    <w:basedOn w:val="Corpodotexto"/>
    <w:rsid w:val="0087087f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87087f"/>
    <w:pPr>
      <w:suppressLineNumbers/>
    </w:pPr>
    <w:rPr>
      <w:rFonts w:ascii="Cambria" w:hAnsi="Cambria" w:cs="Mangal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646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f654e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3314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33140"/>
    <w:pPr/>
    <w:rPr>
      <w:b/>
      <w:bCs/>
    </w:rPr>
  </w:style>
  <w:style w:type="paragraph" w:styleId="Ttulo11" w:customStyle="1">
    <w:name w:val="Título1"/>
    <w:basedOn w:val="Normal"/>
    <w:next w:val="Corpodotexto"/>
    <w:qFormat/>
    <w:rsid w:val="0087087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styleId="Notaderodap">
    <w:name w:val="Footnote Text"/>
    <w:basedOn w:val="Normal"/>
    <w:link w:val="TextodenotaderodapChar"/>
    <w:rsid w:val="0087087f"/>
    <w:pPr>
      <w:widowControl/>
      <w:suppressAutoHyphens w:val="false"/>
      <w:spacing w:before="0" w:after="200"/>
    </w:pPr>
    <w:rPr>
      <w:rFonts w:ascii="Cambria" w:hAnsi="Cambria" w:eastAsia="Cambria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585ceb"/>
    <w:pPr/>
    <w:rPr>
      <w:sz w:val="20"/>
      <w:szCs w:val="20"/>
    </w:rPr>
  </w:style>
  <w:style w:type="paragraph" w:styleId="Xmsonormal" w:customStyle="1">
    <w:name w:val="x_msonormal"/>
    <w:basedOn w:val="Normal"/>
    <w:qFormat/>
    <w:rsid w:val="00585ceb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38245d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38245d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38245d"/>
    <w:pPr>
      <w:spacing w:before="0" w:after="120"/>
      <w:ind w:left="283" w:hanging="0"/>
    </w:pPr>
    <w:rPr>
      <w:sz w:val="16"/>
      <w:szCs w:val="16"/>
    </w:rPr>
  </w:style>
  <w:style w:type="paragraph" w:styleId="Xmsolistparagraph" w:customStyle="1">
    <w:name w:val="x_msolistparagraph"/>
    <w:basedOn w:val="Normal"/>
    <w:qFormat/>
    <w:rsid w:val="0060451c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b/>
      <w:color w:val="000000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87087f"/>
  </w:style>
  <w:style w:type="numbering" w:styleId="Numerao123" w:customStyle="1">
    <w:name w:val="Numeração 123"/>
    <w:qFormat/>
  </w:style>
  <w:style w:type="numbering" w:styleId="Marcador" w:customStyle="1">
    <w:name w:val="Marcador •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rsid w:val="0063752d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rsid w:val="0038245d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3">
    <w:name w:val="Tabela com grade3"/>
    <w:basedOn w:val="Tabelanormal"/>
    <w:uiPriority w:val="39"/>
    <w:rsid w:val="002c67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Simples21">
    <w:name w:val="Tabela Simples 21"/>
    <w:basedOn w:val="Tabelanormal"/>
    <w:uiPriority w:val="42"/>
    <w:rsid w:val="002c67ba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7B32-25A3-41D5-BECA-E79A6E02C8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88f6dc-21a0-46a6-9ef3-ac13ec2f209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FBE33-EC73-4AED-AF09-ADF9E56D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Walter Gustavo Linzmayer</Manager>
  <TotalTime>1552</TotalTime>
  <Application>LibreOffice/7.2.2.2$Windows_X86_64 LibreOffice_project/02b2acce88a210515b4a5bb2e46cbfb63fe97d56</Application>
  <AppVersion>15.0000</AppVersion>
  <Pages>8</Pages>
  <Words>2491</Words>
  <Characters>14787</Characters>
  <CharactersWithSpaces>16926</CharactersWithSpaces>
  <Paragraphs>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2021-10-27T19:39:00Z</dcterms:created>
  <dc:creator>Walter Gustavo Linzmayer</dc:creator>
  <dc:description/>
  <cp:keywords>Setor Setor Setor Setor Setor Setor Setor Setor Setor de Fiscalização</cp:keywords>
  <dc:language>pt-BR</dc:language>
  <cp:lastModifiedBy/>
  <cp:lastPrinted>2021-09-09T14:41:00Z</cp:lastPrinted>
  <dcterms:modified xsi:type="dcterms:W3CDTF">2021-12-22T09:40:18Z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