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16ª REUNIÃO ORDINÁRIA CEP-CAU/PR - 2021</w:t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399"/>
        <w:gridCol w:w="3386"/>
        <w:gridCol w:w="761"/>
        <w:gridCol w:w="600"/>
        <w:gridCol w:w="23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</w:tc>
        <w:tc>
          <w:tcPr>
            <w:tcW w:w="3785" w:type="dxa"/>
            <w:gridSpan w:val="2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29/11/2021</w:t>
            </w:r>
          </w:p>
        </w:tc>
        <w:tc>
          <w:tcPr>
            <w:tcW w:w="1361" w:type="dxa"/>
            <w:gridSpan w:val="2"/>
            <w:tcBorders>
              <w:lef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  <w:tc>
          <w:tcPr>
            <w:tcW w:w="2378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14h às 18h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LOCAL</w:t>
            </w:r>
          </w:p>
        </w:tc>
        <w:tc>
          <w:tcPr>
            <w:tcW w:w="7524" w:type="dxa"/>
            <w:gridSpan w:val="5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Reunião hibrida– </w:t>
            </w:r>
            <w:r>
              <w:rPr>
                <w:rFonts w:eastAsia="Calibri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Skype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-  na Sede da ACIFI (Associação Comercial e Empresarial de Foz do Iguaçu) que fica na R. Padre Montoya nº 490 e remotamente por meio de conferência online.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CONSELHEIROS</w:t>
            </w:r>
          </w:p>
        </w:tc>
        <w:tc>
          <w:tcPr>
            <w:tcW w:w="4147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center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4147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Renê José Rodrigues Junior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Suplente</w:t>
            </w:r>
          </w:p>
        </w:tc>
      </w:tr>
      <w:tr>
        <w:trPr/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4147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Licyane Cordeiro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tcW w:w="4147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Maugham Zaze 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trHeight w:val="313" w:hRule="atLeast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7125" w:type="dxa"/>
            <w:gridSpan w:val="4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3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CONVIDADOS</w:t>
            </w:r>
          </w:p>
        </w:tc>
        <w:tc>
          <w:tcPr>
            <w:tcW w:w="7125" w:type="dxa"/>
            <w:gridSpan w:val="4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Gesse F Lima e Dilécta Oliveira</w:t>
            </w:r>
          </w:p>
        </w:tc>
      </w:tr>
    </w:tbl>
    <w:p>
      <w:pPr>
        <w:pStyle w:val="Normal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tbl>
      <w:tblPr>
        <w:tblStyle w:val="TabelaSimples21"/>
        <w:tblW w:w="93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1"/>
      </w:tblGrid>
      <w:tr>
        <w:trPr>
          <w:trHeight w:val="28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Ttulo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kern w:val="0"/>
                <w:lang w:val="pt-BR" w:bidi="ar-SA"/>
              </w:rPr>
              <w:t>ORDEM DO DIA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color w:val="000000" w:themeColor="text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Abertura/ Comunicados 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 da Comissão de Exercício Profissional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 Ormy Leocádio Hütner Junior abriu a reunião presencialmente com os coordenadores Renê e Licyane, e o Gerente de fiscalização e atendimento Gesse.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Maugham acompanhou virtualmente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, assim como a fiscal Dilécta e assistente de comissão Caori.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CEP-PR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Indicação do relator nos processos de fiscalização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Distribuir aos conselheiros os processos abaixo listados para relato e voto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Licyane Cordeiro:   1340925/2021, 1314603/2020 e 1294417/2020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  <w:tab/>
              <w:t>1342284/2021, 1073590/2020 e 1075106/2020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Renê José Rodrigues Junior</w:t>
              <w:tab/>
              <w:t xml:space="preserve"> 1101170/2020 e 1101169/2020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Maugham Zaze 1294606/2021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120/2021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CEP-CAU/PR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PROJETO ROTAS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Breve apresentação do gerente de fiscalização e atendimento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Criação de um escritório itinerante, objetivando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Estar presente fisicamente, com ações ao maior número de municípios,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Levar os serviços ofertados do CAU/PR aos profissionais de Arquitetura e Urbanismo.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Coibir obras sem projeto e responsável técnico.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Promover a arquitetura para todos.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 disseminar os programas: CAU Educa, registro e carteira profissional, ATHIS, Palestras orientativas e visitas (em prefeituras, secretarias e órgãos de planejamento).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Resolução 198/2021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Parecer Jurídico</w:t>
            </w:r>
          </w:p>
        </w:tc>
      </w:tr>
      <w:tr>
        <w:trPr/>
        <w:tc>
          <w:tcPr>
            <w:tcW w:w="2018" w:type="dxa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Solicitar um parecer jurídico sobre a vigência da Resolução 22/2021 quando entrar </w:t>
            </w:r>
            <w:bookmarkStart w:id="0" w:name="_GoBack"/>
            <w:bookmarkEnd w:id="0"/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em vigor a Resolução 198/2021.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Registro de empresas junior com algumas restrições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Minuta do Checklist para a fiscalização Empresas Junior</w:t>
            </w:r>
          </w:p>
        </w:tc>
      </w:tr>
      <w:tr>
        <w:trPr/>
        <w:tc>
          <w:tcPr>
            <w:tcW w:w="2018" w:type="dxa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Itens pontuados: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Tem que ter CNPJ.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Supervisionada só por professores arquitetos e urbanistas e vinculada a instituição de ensino.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Vinculada ao curso de Arquitetura e Urbanismo.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Ter apenas estudantes de arquitetura.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Não poderá cobrar em espécie podendo ser em doações de maquinas e equipamentos.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pode captar recursos.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Validade de 2 anos.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Qualquer descumprimento o professor responde ao a CED e CEP.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Ter RRT de cargo e função  vinculado.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Ficou definido que os coordenadores desenvolverão um texto e encaminhar ao jurídico para ter base legal e a CEP deliberar.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6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Protocolo nº 1075106/2020 - Processo de Fiscalização n° 1000100196/2020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kern w:val="0"/>
                <w:lang w:val="pt-BR" w:bidi="ar-SA"/>
              </w:rPr>
              <w:t>Ausência de Registro PJ CAU e CREA – S. M. E E.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kern w:val="0"/>
                <w:lang w:val="pt-BR" w:bidi="ar-SA"/>
              </w:rPr>
              <w:t>Ormy Leocádio Hütner Junior</w:t>
            </w:r>
          </w:p>
        </w:tc>
      </w:tr>
      <w:tr>
        <w:trPr>
          <w:trHeight w:val="1402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 e comunicar a empresa que a atividade de montagem e desmontagem realizada no evento necessita de registro.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121/2021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GETEC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>1101169/2020 - Processo de Fiscalização n° 1000105271/2020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– M. A. 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e arquivar o processo e notificar que no prazo de 30 dias se não regularizar a RRT será notificado novamente.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122/2021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GETEC e CED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1101170/2020 - Processo de Fiscalização n° 1000105279/2020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– M. A. 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e arquivar o processo e notificar que no prazo de 30 dias se não regularizar a RRT será notificado novamente.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123/2021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GETEC e CED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Solicitar um parecer jurídico sobre a NBR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Solicitar um parecer jurídico até que ponto como pode ser feita a fiscalização nos condomínios em relação a NBR, orientando como deve ser a forma e até que ponto o CAUPR pode fiscalizar.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Marcar uma reunião com a associação dos condomínios para orientar e esclarecer sobre a leis (competências e penalidades).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124/2021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GEJUR e GABINETE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Protocolo nº 1294606/2021 - Processo de Fiscalização n° 1000123715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Exercício Ilegal da Profissão - MARIANA IZABELLE JULIANI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e arquivar o processo.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a CED para diligenciamento para encontrar o profissional que está acobertando a atuação desta ora estudante, e em encontrando abrir processo ético disciplinar contra.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 a CEF, para cientificar todas as faculdades de Arquitetura e Urbanismo, no sentido de sempre que possível, professores e colaboradores das instituições de ensino, corroborarem com a informação que atuar profissionalmente é uma ação vedada aos estudantes, ou qualquer pessoa sem formação e registro no conselho. Bem como todos os anos da graduação em sua aula inaugural, seja de que matéria for, a informação sobre exercício ilegal seja repetida a exaustão.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Cientificar a instituição de ensino a qual a autuada está matriculada, que a mesma foi autuada por exercício ilegal da profissão.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cópia do processo ao Ministério Público para apuração de violação à Lei de Contravenções Penais.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125/2021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GETEC, CED e CEF</w:t>
            </w:r>
          </w:p>
        </w:tc>
      </w:tr>
    </w:tbl>
    <w:tbl>
      <w:tblPr>
        <w:tblStyle w:val="Tabelacomgrade3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3"/>
      </w:tblGrid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Curitiba, 29 de novembro de 2021.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comgrade3"/>
        <w:tblpPr w:vertAnchor="text" w:horzAnchor="margin" w:tblpXSpec="center" w:leftFromText="141" w:rightFromText="141" w:tblpY="76"/>
        <w:tblW w:w="44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5"/>
      </w:tblGrid>
      <w:tr>
        <w:trPr>
          <w:trHeight w:val="425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80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Assistente da Comissão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16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Hibrida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44"/>
        <w:gridCol w:w="824"/>
        <w:gridCol w:w="2643"/>
        <w:gridCol w:w="564"/>
        <w:gridCol w:w="377"/>
        <w:gridCol w:w="431"/>
        <w:gridCol w:w="508"/>
        <w:gridCol w:w="173"/>
        <w:gridCol w:w="768"/>
        <w:gridCol w:w="940"/>
      </w:tblGrid>
      <w:tr>
        <w:trPr/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16ª REUNIÃO 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29/11/2021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16ª REUNIÃO ORDINÁRIA 2021 DA CEP-CAU/PR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5935133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6652260" cy="630555"/>
              <wp:effectExtent l="0" t="0" r="0" b="0"/>
              <wp:wrapNone/>
              <wp:docPr id="1" name="Imagem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226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PAGE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4</w:t>
        </w:r>
        <w:r>
          <w:rPr>
            <w:sz w:val="20"/>
            <w:b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NUMPAGES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4</w:t>
        </w:r>
        <w:r>
          <w:rPr>
            <w:sz w:val="20"/>
            <w:b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766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false"/>
      <w:outlineLvl w:val="2"/>
    </w:pPr>
    <w:rPr>
      <w:rFonts w:ascii="Times" w:hAnsi="Times" w:eastAsia="Times New Roman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 w:val="true"/>
      <w:keepLines/>
      <w:widowControl/>
      <w:suppressAutoHyphens w:val="false"/>
      <w:spacing w:before="0" w:after="0"/>
      <w:contextualSpacing/>
      <w:jc w:val="center"/>
      <w:outlineLvl w:val="6"/>
    </w:pPr>
    <w:rPr>
      <w:rFonts w:ascii="Times New Roman" w:hAnsi="Times New Roman"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314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33140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7087f"/>
    <w:rPr>
      <w:rFonts w:ascii="Times" w:hAnsi="Times" w:eastAsia="Times New Roman" w:cs="Times New Roman"/>
      <w:b/>
      <w:sz w:val="27"/>
      <w:szCs w:val="20"/>
      <w:lang w:eastAsia="ar-SA"/>
    </w:rPr>
  </w:style>
  <w:style w:type="character" w:styleId="Fontepargpadro1" w:customStyle="1">
    <w:name w:val="Fonte parág. padrão1"/>
    <w:qFormat/>
    <w:rsid w:val="0087087f"/>
    <w:rPr/>
  </w:style>
  <w:style w:type="character" w:styleId="CorpodetextoChar" w:customStyle="1">
    <w:name w:val="Corpo de texto Char"/>
    <w:basedOn w:val="DefaultParagraphFont"/>
    <w:link w:val="Corpodetexto"/>
    <w:qFormat/>
    <w:rsid w:val="0087087f"/>
    <w:rPr>
      <w:rFonts w:ascii="Cambria" w:hAnsi="Cambria" w:eastAsia="MS Mincho" w:cs="Times New Roman"/>
      <w:sz w:val="24"/>
      <w:szCs w:val="24"/>
      <w:lang w:eastAsia="ar-SA"/>
    </w:rPr>
  </w:style>
  <w:style w:type="character" w:styleId="CabealhoChar1" w:customStyle="1">
    <w:name w:val="Cabeçalho Char1"/>
    <w:basedOn w:val="DefaultParagraphFont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RodapChar1" w:customStyle="1">
    <w:name w:val="Rodapé Char1"/>
    <w:basedOn w:val="DefaultParagraphFont"/>
    <w:uiPriority w:val="99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Linkdainternetvisitado">
    <w:name w:val="Link da internet visitado"/>
    <w:rsid w:val="0087087f"/>
    <w:rPr>
      <w:color w:val="800080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87087f"/>
    <w:rPr>
      <w:rFonts w:ascii="Cambria" w:hAnsi="Cambria" w:eastAsia="Cambria" w:cs="Times New Roman"/>
      <w:sz w:val="24"/>
      <w:szCs w:val="24"/>
      <w:lang w:eastAsia="ar-S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87087f"/>
    <w:rPr>
      <w:vertAlign w:val="superscript"/>
    </w:rPr>
  </w:style>
  <w:style w:type="character" w:styleId="Strong">
    <w:name w:val="Strong"/>
    <w:uiPriority w:val="22"/>
    <w:qFormat/>
    <w:rsid w:val="0087087f"/>
    <w:rPr>
      <w:b/>
      <w:bCs/>
    </w:rPr>
  </w:style>
  <w:style w:type="character" w:styleId="St" w:customStyle="1">
    <w:name w:val="st"/>
    <w:basedOn w:val="DefaultParagraphFont"/>
    <w:qFormat/>
    <w:rsid w:val="0087087f"/>
    <w:rPr/>
  </w:style>
  <w:style w:type="character" w:styleId="Nfase">
    <w:name w:val="Ênfase"/>
    <w:uiPriority w:val="20"/>
    <w:qFormat/>
    <w:rsid w:val="0087087f"/>
    <w:rPr>
      <w:i/>
    </w:rPr>
  </w:style>
  <w:style w:type="character" w:styleId="Linkurl" w:customStyle="1">
    <w:name w:val="link_url"/>
    <w:basedOn w:val="DefaultParagraphFont"/>
    <w:qFormat/>
    <w:rsid w:val="0087087f"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585ceb"/>
    <w:rPr>
      <w:rFonts w:eastAsia="MS Mincho" w:cs="Times New Roman"/>
      <w:sz w:val="20"/>
      <w:szCs w:val="20"/>
      <w:lang w:eastAsia="ar-SA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85ceb"/>
    <w:rPr>
      <w:vertAlign w:val="superscript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38245d"/>
    <w:rPr>
      <w:rFonts w:eastAsia="MS Mincho" w:cs="Times New Roman"/>
      <w:sz w:val="16"/>
      <w:szCs w:val="16"/>
      <w:lang w:eastAsia="ar-SA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ar-SA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776b"/>
    <w:rPr>
      <w:rFonts w:ascii="Times New Roman" w:hAnsi="Times New Roman" w:eastAsia="MS Mincho" w:cs="Times New Roman"/>
      <w:b/>
      <w:iCs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a60526"/>
    <w:rPr>
      <w:rFonts w:ascii="Times New Roman" w:hAnsi="Times New Roman" w:eastAsia="Calibri" w:cs="Times New Roman"/>
      <w:b/>
      <w:bCs/>
    </w:rPr>
  </w:style>
  <w:style w:type="character" w:styleId="Fontstyle01" w:customStyle="1">
    <w:name w:val="fontstyle01"/>
    <w:basedOn w:val="DefaultParagraphFont"/>
    <w:qFormat/>
    <w:rsid w:val="006675e4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87087f"/>
    <w:pPr>
      <w:spacing w:before="0" w:after="120"/>
    </w:pPr>
    <w:rPr>
      <w:rFonts w:ascii="Cambria" w:hAnsi="Cambria"/>
    </w:rPr>
  </w:style>
  <w:style w:type="paragraph" w:styleId="Lista">
    <w:name w:val="List"/>
    <w:basedOn w:val="Corpodotexto"/>
    <w:rsid w:val="0087087f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87087f"/>
    <w:pPr>
      <w:suppressLineNumbers/>
    </w:pPr>
    <w:rPr>
      <w:rFonts w:ascii="Cambria" w:hAnsi="Cambria"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Ttulododocumento">
    <w:name w:val="Title"/>
    <w:basedOn w:val="Normal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NormalWeb">
    <w:name w:val="Normal (Web)"/>
    <w:basedOn w:val="Normal"/>
    <w:uiPriority w:val="99"/>
    <w:unhideWhenUsed/>
    <w:qFormat/>
    <w:rsid w:val="007f654e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3314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33140"/>
    <w:pPr/>
    <w:rPr>
      <w:b/>
      <w:bCs/>
    </w:rPr>
  </w:style>
  <w:style w:type="paragraph" w:styleId="Ttulo11" w:customStyle="1">
    <w:name w:val="Título1"/>
    <w:basedOn w:val="Normal"/>
    <w:next w:val="Corpodotexto"/>
    <w:qFormat/>
    <w:rsid w:val="0087087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Notaderodap">
    <w:name w:val="Footnote Text"/>
    <w:basedOn w:val="Normal"/>
    <w:link w:val="TextodenotaderodapChar"/>
    <w:rsid w:val="0087087f"/>
    <w:pPr>
      <w:widowControl/>
      <w:suppressAutoHyphens w:val="false"/>
      <w:spacing w:before="0" w:after="200"/>
    </w:pPr>
    <w:rPr>
      <w:rFonts w:ascii="Cambria" w:hAnsi="Cambria" w:eastAsia="Cambri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585ceb"/>
    <w:pPr/>
    <w:rPr>
      <w:sz w:val="20"/>
      <w:szCs w:val="20"/>
    </w:rPr>
  </w:style>
  <w:style w:type="paragraph" w:styleId="Xmsonormal" w:customStyle="1">
    <w:name w:val="x_msonormal"/>
    <w:basedOn w:val="Normal"/>
    <w:qFormat/>
    <w:rsid w:val="00585ceb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38245d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38245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38245d"/>
    <w:pPr>
      <w:spacing w:before="0" w:after="120"/>
      <w:ind w:left="283" w:hanging="0"/>
    </w:pPr>
    <w:rPr>
      <w:sz w:val="16"/>
      <w:szCs w:val="16"/>
    </w:rPr>
  </w:style>
  <w:style w:type="paragraph" w:styleId="Xmsolistparagraph" w:customStyle="1">
    <w:name w:val="x_msolistparagraph"/>
    <w:basedOn w:val="Normal"/>
    <w:qFormat/>
    <w:rsid w:val="0060451c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7087f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rsid w:val="0063752d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rsid w:val="0038245d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3">
    <w:name w:val="Tabela com grade3"/>
    <w:basedOn w:val="Tabelanormal"/>
    <w:uiPriority w:val="39"/>
    <w:rsid w:val="002c67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67B32-25A3-41D5-BECA-E79A6E02C8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88f6dc-21a0-46a6-9ef3-ac13ec2f209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FF37A2-6053-406B-8BC2-DD7AB4D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Walter Gustavo Linzmayer</Manager>
  <TotalTime>1094</TotalTime>
  <Application>LibreOffice/7.2.2.2$Windows_X86_64 LibreOffice_project/02b2acce88a210515b4a5bb2e46cbfb63fe97d56</Application>
  <AppVersion>15.0000</AppVersion>
  <Pages>4</Pages>
  <Words>1227</Words>
  <Characters>6826</Characters>
  <CharactersWithSpaces>7864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2021-10-27T19:39:00Z</dcterms:created>
  <dc:creator>Walter Gustavo Linzmayer</dc:creator>
  <dc:description/>
  <cp:keywords>Setor Setor Setor Setor de Fiscalização</cp:keywords>
  <dc:language>pt-BR</dc:language>
  <cp:lastModifiedBy/>
  <cp:lastPrinted>2022-01-11T17:04:03Z</cp:lastPrinted>
  <dcterms:modified xsi:type="dcterms:W3CDTF">2022-01-11T17:16:50Z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