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18ª REUNIÃO ORDINÁRIA CEP-CAU/PR - 2021</w:t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7"/>
        <w:gridCol w:w="399"/>
        <w:gridCol w:w="3386"/>
        <w:gridCol w:w="761"/>
        <w:gridCol w:w="600"/>
        <w:gridCol w:w="23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3785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13/12/2021</w:t>
            </w:r>
          </w:p>
        </w:tc>
        <w:tc>
          <w:tcPr>
            <w:tcW w:w="1361" w:type="dxa"/>
            <w:gridSpan w:val="2"/>
            <w:tcBorders>
              <w:lef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378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14h às 18h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524" w:type="dxa"/>
            <w:gridSpan w:val="5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Reunião virtual – </w:t>
            </w:r>
            <w:r>
              <w:rPr>
                <w:rFonts w:eastAsia="Calibri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Skype</w:t>
            </w:r>
          </w:p>
        </w:tc>
      </w:tr>
      <w:tr>
        <w:trPr/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CONSELHEIROS</w:t>
            </w:r>
          </w:p>
        </w:tc>
        <w:tc>
          <w:tcPr>
            <w:tcW w:w="4147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center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4147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Renê José Rodrigues Junior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Suplente</w:t>
            </w:r>
          </w:p>
        </w:tc>
      </w:tr>
      <w:tr>
        <w:trPr/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4147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tcW w:w="4147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Maugham Zaze </w:t>
            </w:r>
          </w:p>
        </w:tc>
        <w:tc>
          <w:tcPr>
            <w:tcW w:w="2978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>
          <w:trHeight w:val="313" w:hRule="atLeast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7125" w:type="dxa"/>
            <w:gridSpan w:val="4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3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6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CONVIDADOS</w:t>
            </w:r>
          </w:p>
        </w:tc>
        <w:tc>
          <w:tcPr>
            <w:tcW w:w="7125" w:type="dxa"/>
            <w:gridSpan w:val="4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Gesse F Lima, Larissa Moneda e Dilécta Oliveira</w:t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tbl>
      <w:tblPr>
        <w:tblStyle w:val="TabelaSimples21"/>
        <w:tblW w:w="93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>
          <w:trHeight w:val="28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Ttulo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  <w:kern w:val="0"/>
                <w:lang w:val="pt-BR" w:bidi="ar-SA"/>
              </w:rPr>
              <w:t>ORDEM DO DIA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Abertura/ Comunicados 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 da Comissão de Exercício Profissional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 Ormy Leocádio Hütner Junior abriu a reunião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ind w:left="389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fiscalização foi convidada a participar e a dra. Larissa adentrou na reunião as 16:40 para auxiliar na minuta da EJ e EMAUs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CEP-PR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Distribuição dos processos de fiscalização 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Distribuir aos conselheiros os processos abaixo listados para relato e voto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695" w:leader="none"/>
              </w:tabs>
              <w:suppressAutoHyphens w:val="false"/>
              <w:spacing w:before="0" w:after="0"/>
              <w:ind w:left="340" w:hanging="3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Licyane Cordeiro: </w:t>
            </w: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1161224/2020, 1344213/2021, 1361250/2021, 1197236/2020, 1347717/2021 1364520/2021, 1376270/2021, 1219280/2020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695" w:leader="none"/>
              </w:tabs>
              <w:suppressAutoHyphens w:val="true"/>
              <w:spacing w:before="0" w:after="0"/>
              <w:ind w:left="340" w:hanging="3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Ormy Leocádio Hütner Junior: </w:t>
            </w: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1325563/2021, 1293570/2021, 1387560/2020, 1392359/2021, 1319689/2021, 1353945/2021. 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695" w:leader="none"/>
              </w:tabs>
              <w:suppressAutoHyphens w:val="true"/>
              <w:spacing w:before="0" w:after="0"/>
              <w:ind w:left="340" w:hanging="34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 xml:space="preserve">Renê José Rodrigues Junior: </w:t>
            </w: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1125120/2020, 1361244/2021, 1377166/2021, 1326256/2021, 1401701/2021.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695" w:leader="none"/>
              </w:tabs>
              <w:suppressAutoHyphens w:val="true"/>
              <w:spacing w:before="0" w:after="0"/>
              <w:ind w:left="340" w:hanging="340"/>
              <w:contextualSpacing w:val="fals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Maugham Zaze:</w:t>
            </w: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979564/2019, 1341999/2021, 1151472/2020, 1099143/2020, 1151712/2020, 1380804/2021,</w:t>
            </w:r>
          </w:p>
          <w:p>
            <w:pPr>
              <w:pStyle w:val="ListParagraph"/>
              <w:widowControl w:val="false"/>
              <w:numPr>
                <w:ilvl w:val="0"/>
                <w:numId w:val="65"/>
              </w:numPr>
              <w:tabs>
                <w:tab w:val="clear" w:pos="708"/>
                <w:tab w:val="left" w:pos="1695" w:leader="none"/>
              </w:tabs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142/2021 – CEP-CAU/PR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CEP-CAU/PR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979564/2019 - Processo de fiscalização 1000091189/2019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Exercício Ilegal da Profissão L. C. C.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66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67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Oficializar a Prefeitura de Tijucas sobre a fiscalização.</w:t>
            </w:r>
          </w:p>
          <w:p>
            <w:pPr>
              <w:pStyle w:val="ListParagraph"/>
              <w:widowControl w:val="false"/>
              <w:numPr>
                <w:ilvl w:val="0"/>
                <w:numId w:val="68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143/2021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center" w:pos="831" w:leader="none"/>
              </w:tabs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4</w:t>
              <w:tab/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1341999/2021- Processo de fiscalização n° 1000129252/2021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Exercício Ilegal da Profissão L. F. De M. B.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69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70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71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144/2021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</w:t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05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1151472/2020 - Processo de fiscalização nº 1000109838/2020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both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 xml:space="preserve"> </w:t>
            </w: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Registro Profissional Suspenso D A 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146/2021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1125120/2020 – Processo de Fiscalização nº 1000107437/2020</w:t>
              <w:tab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A. O. 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eastAsia="Arial" w:ascii="Times New Roman" w:hAnsi="Times New Roman"/>
                <w:iCs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  <w:r>
              <w:rPr>
                <w:rFonts w:ascii="Times New Roman" w:hAnsi="Times New Roman"/>
                <w:iCs/>
                <w:kern w:val="0"/>
                <w:sz w:val="22"/>
                <w:szCs w:val="22"/>
                <w:lang w:val="pt-BR" w:bidi="ar-SA"/>
              </w:rPr>
              <w:tab/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72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 emitindo uma RRT extemporâneo.</w:t>
            </w:r>
          </w:p>
          <w:p>
            <w:pPr>
              <w:pStyle w:val="ListParagraph"/>
              <w:widowControl w:val="false"/>
              <w:numPr>
                <w:ilvl w:val="0"/>
                <w:numId w:val="7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147/2021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  <w:t xml:space="preserve">  </w:t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1361244/2021 – Processo de Fiscalização nº 1000131684/2021.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RRT R. D. P. K. D.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numPr>
                <w:ilvl w:val="0"/>
                <w:numId w:val="74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regu-larizada a infração.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7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148/2021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1161224/2020 – Processo de Fiscalização nº 1000111636/2020</w:t>
              <w:tab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M 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76"/>
              </w:numPr>
              <w:suppressAutoHyphens w:val="fals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77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149/2021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  <w:tab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CEP-CAUPR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Notificar o condomínio do processo </w:t>
            </w:r>
            <w:r>
              <w:rPr>
                <w:rFonts w:eastAsia="Calibri" w:ascii="Times New Roman" w:hAnsi="Times New Roman"/>
                <w:b/>
                <w:bCs/>
                <w:iCs/>
                <w:kern w:val="0"/>
                <w:sz w:val="22"/>
                <w:szCs w:val="22"/>
                <w:lang w:val="pt-BR" w:eastAsia="en-US" w:bidi="ar-SA"/>
              </w:rPr>
              <w:t>1161224/2020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78"/>
              </w:numPr>
              <w:suppressAutoHyphens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uma notificação ao condomínio sobre o processo anterior para que tenha ciência da sobre as normas da ABTN NBR 16280.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numPr>
                <w:ilvl w:val="0"/>
                <w:numId w:val="79"/>
              </w:numPr>
              <w:suppressAutoHyphens w:val="tru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150/2021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1344213/2021 – Processo de Fiscalização nº 1000129491/2021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H. S. T.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0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81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151/2021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11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1361250/2021 - Processo de fiscalização n° 1000131686/2021.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D. A.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8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152/2021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12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1197236/2020 – Processo de Fiscalização n° 1000116012/2020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104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AV &amp; F.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4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indeferir a defesa e manter o auto de infração e reduzir a multa ao mínimo por ter se regularizado.</w:t>
            </w:r>
          </w:p>
          <w:p>
            <w:pPr>
              <w:pStyle w:val="ListParagraph"/>
              <w:widowControl w:val="false"/>
              <w:numPr>
                <w:ilvl w:val="0"/>
                <w:numId w:val="8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153/2021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1347717/2021 – Processo de Fiscalização n° 1000129855/2021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A. &amp; S.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6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Acompanhar o voto do conselheiro relator, no sentido indeferir a defesa e manter o auto de infração,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a multa.</w:t>
            </w:r>
          </w:p>
          <w:p>
            <w:pPr>
              <w:pStyle w:val="ListParagraph"/>
              <w:widowControl w:val="false"/>
              <w:numPr>
                <w:ilvl w:val="0"/>
                <w:numId w:val="8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88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154/2021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1376270/2021 – Processo de Fiscalização n° 1000133467/2021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AO C. E. C.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89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indeferir a defesa e manter o auto de infração, e reduzir a multa ao mínimo por ter se regularizado.</w:t>
            </w:r>
          </w:p>
          <w:p>
            <w:pPr>
              <w:pStyle w:val="ListParagraph"/>
              <w:widowControl w:val="false"/>
              <w:numPr>
                <w:ilvl w:val="0"/>
                <w:numId w:val="90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155/2021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1219280/2020 – Processo de Fiscalização n° 1000118435/2020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L. S. A.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91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Acompanhar o voto do conselheiro relator, no sentido indeferir a defesa e manter o auto de infração,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a multa.</w:t>
            </w:r>
          </w:p>
          <w:p>
            <w:pPr>
              <w:pStyle w:val="ListParagraph"/>
              <w:widowControl w:val="false"/>
              <w:numPr>
                <w:ilvl w:val="0"/>
                <w:numId w:val="9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156/2021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1099143/2020 – Processo de Fiscalização nº 1000104690/2020.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Registro Profissional Suspenso D. S.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9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de manter 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94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Encaminhar para a CED/PR para verificação de possíveis infrações ao Código de Ética e Disciplina </w:t>
            </w:r>
          </w:p>
          <w:p>
            <w:pPr>
              <w:pStyle w:val="ListParagraph"/>
              <w:widowControl w:val="false"/>
              <w:numPr>
                <w:ilvl w:val="0"/>
                <w:numId w:val="9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157/2021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e CED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1151712/2020 – Processo de Fiscalização nº 1000109930/2020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Registro Profissional Suspenso E. W. G. J.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96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de manter o auto de infração,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97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158/2021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1380804/2021 – Processo de Fiscalização nº 1000134078/2021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Exercício Ilegal da Profissão L. L.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bookmarkStart w:id="1" w:name="_GoBack2"/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Maugham Zaze</w:t>
            </w:r>
            <w:bookmarkEnd w:id="1"/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98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99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100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Solicitar a fiscalização o diligenciamento para verificar os possíveis profissionais que estão acobertando a atividade profissional da autuada e encaminhar para a CED/PR para verificação de possíveis infrações ao Código de Ética e Disciplina.</w:t>
            </w:r>
          </w:p>
          <w:p>
            <w:pPr>
              <w:pStyle w:val="ListParagraph"/>
              <w:widowControl w:val="false"/>
              <w:numPr>
                <w:ilvl w:val="0"/>
                <w:numId w:val="101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159/2021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 e CED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19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1325563/2021 – Processo de Fiscalização nº 1000112905/2020.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E. M. DA C.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>
          <w:trHeight w:val="1333" w:hRule="atLeast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02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</w:t>
            </w:r>
            <w:r>
              <w:rPr>
                <w:kern w:val="0"/>
                <w:lang w:val="pt-BR" w:bidi="ar-SA"/>
              </w:rPr>
              <w:t xml:space="preserve">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 a multa tendo em vista que a regularização ocorreu depois da emissão do auto de infração.</w:t>
            </w:r>
          </w:p>
          <w:p>
            <w:pPr>
              <w:pStyle w:val="ListParagraph"/>
              <w:widowControl w:val="false"/>
              <w:numPr>
                <w:ilvl w:val="0"/>
                <w:numId w:val="10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160/2021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20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1293570/2021 - Processo de fiscalização n° 1000123288/2021.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J. C.C.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04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 e multa,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105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161/2021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21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1387560/2020 – Processo de Fiscalização nº 1000134729/2021</w:t>
              <w:tab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G. B.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06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107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162/2021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22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1392359/2021 - Processo de fiscalização n° 1000135261/2021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A. O. A.</w:t>
            </w:r>
          </w:p>
        </w:tc>
      </w:tr>
      <w:tr>
        <w:trPr>
          <w:trHeight w:val="1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08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109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163/2021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23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CEP-CAUPR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231" w:leader="none"/>
              </w:tabs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Orientações sobre registro e fiscalização de extensão universitária em arquitetura e urbanismo (escritório modelo, empresas juniores).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numPr>
                <w:ilvl w:val="0"/>
                <w:numId w:val="110"/>
              </w:numPr>
              <w:tabs>
                <w:tab w:val="clear" w:pos="708"/>
                <w:tab w:val="left" w:pos="1402" w:leader="none"/>
              </w:tabs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 xml:space="preserve">Seguir as recomendações feitas através da Deliberação 031/2019 CEP-CAU/BR, quanto as atividades desenvolvidas no âmbito acadêmico, pelos </w:t>
            </w:r>
            <w:r>
              <w:rPr>
                <w:rFonts w:ascii="Times New Roman" w:hAnsi="Times New Roman"/>
                <w:b/>
                <w:kern w:val="0"/>
                <w:lang w:val="pt-BR" w:bidi="ar-SA"/>
              </w:rPr>
              <w:t>Escritórios Modelos de Arquitetura e Urbanismo – EMAU e Empresas Juni</w:t>
            </w:r>
            <w:r>
              <w:rPr>
                <w:rFonts w:ascii="Times New Roman" w:hAnsi="Times New Roman"/>
                <w:b/>
                <w:bCs/>
                <w:kern w:val="0"/>
                <w:lang w:val="pt-BR" w:bidi="ar-SA"/>
              </w:rPr>
              <w:t>ores</w:t>
            </w:r>
            <w:r>
              <w:rPr>
                <w:rFonts w:ascii="Times New Roman" w:hAnsi="Times New Roman"/>
                <w:kern w:val="0"/>
                <w:lang w:val="pt-BR" w:bidi="ar-SA"/>
              </w:rPr>
              <w:t xml:space="preserve"> conforme descrito abaixo: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tabs>
                <w:tab w:val="clear" w:pos="708"/>
                <w:tab w:val="left" w:pos="1402" w:leader="none"/>
              </w:tabs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lang w:val="pt-BR" w:bidi="ar-SA"/>
              </w:rPr>
              <w:t>Aprovar as “Orientações quanto à Atividade de Extensão Universitária em Arquitetura e Urbanismo”, assim como os procedimentos de fiscalização - Anexo I e Anexo II;</w:t>
            </w:r>
          </w:p>
          <w:p>
            <w:pPr>
              <w:pStyle w:val="Normal"/>
              <w:widowControl w:val="false"/>
              <w:numPr>
                <w:ilvl w:val="0"/>
                <w:numId w:val="112"/>
              </w:numPr>
              <w:tabs>
                <w:tab w:val="clear" w:pos="708"/>
                <w:tab w:val="left" w:pos="1402" w:leader="none"/>
              </w:tabs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val="pt-BR" w:bidi="ar-SA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Esta deliberação entra em vigor na data de sua publicação. </w:t>
            </w:r>
          </w:p>
          <w:p>
            <w:pPr>
              <w:pStyle w:val="ListParagraph"/>
              <w:widowControl w:val="false"/>
              <w:numPr>
                <w:ilvl w:val="0"/>
                <w:numId w:val="113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145/2021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PRESIDÊNCIA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1319689/2021 - Processo de fiscalização n° 1000126417/2021.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both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 xml:space="preserve"> </w:t>
            </w: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M. F. B.</w:t>
            </w:r>
          </w:p>
        </w:tc>
      </w:tr>
      <w:tr>
        <w:trPr>
          <w:trHeight w:val="1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14"/>
              </w:numPr>
              <w:suppressAutoHyphens w:val="tru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indeferir a defesa e manter o auto de infração, visto que não foi apresentada defesa ao auto de infração, paga a multa ou regularizada a infração.</w:t>
            </w:r>
          </w:p>
          <w:p>
            <w:pPr>
              <w:pStyle w:val="ListParagraph"/>
              <w:widowControl w:val="false"/>
              <w:numPr>
                <w:ilvl w:val="0"/>
                <w:numId w:val="115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164/2021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25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1353945/2021 – Processo de Fiscalização nº 1000130759/2021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Exercício Ilegal da Profissão K C M</w:t>
            </w:r>
          </w:p>
        </w:tc>
      </w:tr>
      <w:tr>
        <w:trPr>
          <w:trHeight w:val="11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Ormy Leocádio Hütner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16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arquivar o processo visto que foi paga a multa.</w:t>
            </w:r>
          </w:p>
          <w:p>
            <w:pPr>
              <w:pStyle w:val="ListParagraph"/>
              <w:widowControl w:val="false"/>
              <w:numPr>
                <w:ilvl w:val="0"/>
                <w:numId w:val="117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118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165/2021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26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1326256/2021 – Processo de Fiscalização n° 1000127102/2021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Ausência de Registro no CAU e CREA (PJ) </w:t>
            </w:r>
          </w:p>
        </w:tc>
      </w:tr>
      <w:tr>
        <w:trPr>
          <w:trHeight w:val="10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left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19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arquivar o processo visto que foi paga a multa, notificar a empresa que terá um prazo de 30 dias para se regularizar ou será fiscalizada novamente.</w:t>
            </w:r>
          </w:p>
          <w:p>
            <w:pPr>
              <w:pStyle w:val="ListParagraph"/>
              <w:widowControl w:val="false"/>
              <w:numPr>
                <w:ilvl w:val="0"/>
                <w:numId w:val="120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166/2021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27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CEP-CAUPR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Encaminhar para o MP o processo do protocolo </w:t>
            </w: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1326256/2021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widowControl w:val="false"/>
              <w:numPr>
                <w:ilvl w:val="0"/>
                <w:numId w:val="121"/>
              </w:numPr>
              <w:suppressAutoHyphens w:val="false"/>
              <w:spacing w:before="0" w:after="0"/>
              <w:ind w:left="720" w:right="139" w:hanging="36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Encaminhar cópia do processo ao Ministério Público para apuração de violação à Lei de Contravenções Penais.</w:t>
            </w:r>
          </w:p>
          <w:p>
            <w:pPr>
              <w:pStyle w:val="ListParagraph"/>
              <w:widowControl w:val="false"/>
              <w:numPr>
                <w:ilvl w:val="0"/>
                <w:numId w:val="122"/>
              </w:numPr>
              <w:suppressAutoHyphens w:val="tru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167/2021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PRESIDÊNCIA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73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Cs w:val="false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28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1401701/2021 – Processo de Fiscalização nº 1000136803/2021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right="139" w:hanging="0"/>
              <w:contextualSpacing/>
              <w:jc w:val="left"/>
              <w:rPr>
                <w:rFonts w:eastAsia="Calibri"/>
                <w:b/>
                <w:b/>
                <w:iCs w:val="false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kern w:val="0"/>
                <w:lang w:val="pt-BR" w:eastAsia="en-US" w:bidi="ar-SA"/>
              </w:rPr>
              <w:t>Fonte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Cs w:val="false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Ausência de Registro no CAU (PJ).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303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Renê José Rodrigues Junior</w:t>
            </w:r>
          </w:p>
        </w:tc>
      </w:tr>
      <w:tr>
        <w:trPr/>
        <w:tc>
          <w:tcPr>
            <w:tcW w:w="20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303" w:type="dxa"/>
            <w:tcBorders>
              <w:top w:val="nil"/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numPr>
                <w:ilvl w:val="0"/>
                <w:numId w:val="123"/>
              </w:numPr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Acompanhar o voto do conselheiro relator, no sentido de manter o auto de infração, visto que não foi apresentada defesa, e reduzir a multa visto que se regularizou.</w:t>
            </w:r>
          </w:p>
          <w:p>
            <w:pPr>
              <w:pStyle w:val="ListParagraph"/>
              <w:widowControl w:val="false"/>
              <w:numPr>
                <w:ilvl w:val="0"/>
                <w:numId w:val="124"/>
              </w:numPr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Encaminhar esta deliberação à Presidência do CAU/PR, para conhecimento e providências.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Nº 168/2021 –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Destino de tramitação: GETEC</w:t>
            </w:r>
          </w:p>
        </w:tc>
      </w:tr>
    </w:tbl>
    <w:tbl>
      <w:tblPr>
        <w:tblStyle w:val="Tabelacomgrade3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Curitiba, 13 de dezembro de 2021.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HÜTNER JUNIOR</w:t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pPr w:vertAnchor="text" w:horzAnchor="margin" w:tblpXSpec="center" w:leftFromText="141" w:rightFromText="141" w:tblpY="76"/>
        <w:tblW w:w="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5"/>
      </w:tblGrid>
      <w:tr>
        <w:trPr>
          <w:trHeight w:val="425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CAORI NAKANO</w:t>
            </w:r>
          </w:p>
        </w:tc>
      </w:tr>
      <w:tr>
        <w:trPr>
          <w:trHeight w:val="80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Assistente da Comissão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 xml:space="preserve">Folha de Votação                                                                               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45"/>
        <w:gridCol w:w="824"/>
        <w:gridCol w:w="2642"/>
        <w:gridCol w:w="565"/>
        <w:gridCol w:w="378"/>
        <w:gridCol w:w="431"/>
        <w:gridCol w:w="508"/>
        <w:gridCol w:w="176"/>
        <w:gridCol w:w="768"/>
        <w:gridCol w:w="937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Matéria em votação: </w:t>
            </w:r>
            <w:r>
              <w:rPr>
                <w:rFonts w:eastAsia="Calibri"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  <w:t>Distribuição dos processos de fiscalização.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  <w:t>Notificar o condomínio do processo 1161224/2020.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sz w:val="22"/>
                <w:szCs w:val="22"/>
                <w:lang w:eastAsia="en-US"/>
              </w:rPr>
              <w:t xml:space="preserve">Encaminhar para o MP o processo do protocolo </w:t>
            </w: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1326256/2021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iCs/>
                <w:sz w:val="22"/>
                <w:szCs w:val="22"/>
              </w:rPr>
              <w:t>979564/2019, 1341999/2021, 1151472/2020, 1125120/2020, 1361244/2021, 1344213/2021,  1361250/2021, 1197236/2020, 1347717/2021, 1376270/2021, 1219280/2020, 1099143/2020,  1151712/2020, 1380804/2021, 1325563/2021, 1293570/2021, 1387560/2020, 1392359/2021,  1319689/2021, 1353945/2021, 1401701/2021.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45"/>
        <w:gridCol w:w="824"/>
        <w:gridCol w:w="2642"/>
        <w:gridCol w:w="565"/>
        <w:gridCol w:w="378"/>
        <w:gridCol w:w="431"/>
        <w:gridCol w:w="508"/>
        <w:gridCol w:w="176"/>
        <w:gridCol w:w="768"/>
        <w:gridCol w:w="937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X   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1161224/2020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o conselheiro Rene se indicou impedido de votar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 xml:space="preserve">                                                                        </w:t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45"/>
        <w:gridCol w:w="824"/>
        <w:gridCol w:w="2642"/>
        <w:gridCol w:w="565"/>
        <w:gridCol w:w="378"/>
        <w:gridCol w:w="431"/>
        <w:gridCol w:w="508"/>
        <w:gridCol w:w="176"/>
        <w:gridCol w:w="768"/>
        <w:gridCol w:w="937"/>
      </w:tblGrid>
      <w:tr>
        <w:trPr/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(2),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(2),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Ocorrências: justificativa do voto do conselheiro Maugham: Empresa Jr não é passível de registro, visto o responsável ter de emitir RRT de cargo e função, e no caso de serviços de arquitetura e urbanismo, emitir RRT de um serviço que ele não fez, o quê fere o código de ética, de assumir autoria de projeto que não fez.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Como houve empate o voto que definiu pela aprovação da minuta foi do coordenador.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Times New Roman" w:hAnsi="Times New Roman" w:eastAsia="Cambria"/>
          <w:b/>
          <w:b/>
          <w:bCs/>
          <w:sz w:val="22"/>
          <w:szCs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  <w:szCs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44"/>
        <w:gridCol w:w="824"/>
        <w:gridCol w:w="2642"/>
        <w:gridCol w:w="565"/>
        <w:gridCol w:w="378"/>
        <w:gridCol w:w="430"/>
        <w:gridCol w:w="509"/>
        <w:gridCol w:w="174"/>
        <w:gridCol w:w="768"/>
        <w:gridCol w:w="940"/>
      </w:tblGrid>
      <w:tr>
        <w:trPr/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>
        <w:trPr/>
        <w:tc>
          <w:tcPr>
            <w:tcW w:w="24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Ormy Leocádio Hütner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Coord. Adjunto-Suplente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Renê José Rodrigues Junior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X     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Licyane Cordeiro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8" w:hRule="atLeast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Maugham Zaze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</w:rPr>
              <w:t>X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/12/2021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Matéria em votação: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Protocolos: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iCs/>
                <w:sz w:val="22"/>
                <w:szCs w:val="22"/>
              </w:rPr>
              <w:t>1326256/2021,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(1),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</w:rPr>
              <w:t xml:space="preserve">Caori Nakano </w:t>
            </w:r>
            <w:r>
              <w:rPr>
                <w:rFonts w:eastAsia="Cambria" w:ascii="Times New Roman" w:hAnsi="Times New Roman"/>
                <w:sz w:val="22"/>
                <w:szCs w:val="22"/>
              </w:rPr>
              <w:t xml:space="preserve">– Condução Trabalhos: </w:t>
            </w:r>
            <w:r>
              <w:rPr>
                <w:rFonts w:eastAsia="Cambria" w:ascii="Times New Roman" w:hAnsi="Times New Roman"/>
                <w:b/>
                <w:sz w:val="22"/>
                <w:szCs w:val="22"/>
              </w:rPr>
              <w:t>Ormy Leocádio Hütner Junior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3359578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PAGE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4</w:t>
        </w:r>
        <w:r>
          <w:rPr>
            <w:sz w:val="20"/>
            <w:b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NUMPAGES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10</w:t>
        </w:r>
        <w:r>
          <w:rPr>
            <w:sz w:val="20"/>
            <w:b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4"/>
    <w:lvlOverride w:ilvl="0">
      <w:startOverride w:val="1"/>
    </w:lvlOverride>
  </w:num>
  <w:num w:numId="66">
    <w:abstractNumId w:val="4"/>
    <w:lvlOverride w:ilvl="0">
      <w:startOverride w:val="1"/>
    </w:lvlOverride>
  </w:num>
  <w:num w:numId="67">
    <w:abstractNumId w:val="4"/>
  </w:num>
  <w:num w:numId="68">
    <w:abstractNumId w:val="4"/>
  </w:num>
  <w:num w:numId="69">
    <w:abstractNumId w:val="4"/>
    <w:lvlOverride w:ilvl="0">
      <w:startOverride w:val="1"/>
    </w:lvlOverride>
  </w:num>
  <w:num w:numId="70">
    <w:abstractNumId w:val="4"/>
  </w:num>
  <w:num w:numId="71">
    <w:abstractNumId w:val="4"/>
  </w:num>
  <w:num w:numId="72">
    <w:abstractNumId w:val="4"/>
    <w:lvlOverride w:ilvl="0">
      <w:startOverride w:val="1"/>
    </w:lvlOverride>
  </w:num>
  <w:num w:numId="73">
    <w:abstractNumId w:val="4"/>
  </w:num>
  <w:num w:numId="74">
    <w:abstractNumId w:val="4"/>
  </w:num>
  <w:num w:numId="75">
    <w:abstractNumId w:val="4"/>
  </w:num>
  <w:num w:numId="76">
    <w:abstractNumId w:val="4"/>
    <w:lvlOverride w:ilvl="0">
      <w:startOverride w:val="1"/>
    </w:lvlOverride>
  </w:num>
  <w:num w:numId="77">
    <w:abstractNumId w:val="4"/>
  </w:num>
  <w:num w:numId="78">
    <w:abstractNumId w:val="4"/>
    <w:lvlOverride w:ilvl="0">
      <w:startOverride w:val="1"/>
    </w:lvlOverride>
  </w:num>
  <w:num w:numId="79">
    <w:abstractNumId w:val="4"/>
  </w:num>
  <w:num w:numId="80">
    <w:abstractNumId w:val="4"/>
    <w:lvlOverride w:ilvl="0">
      <w:startOverride w:val="1"/>
    </w:lvlOverride>
  </w:num>
  <w:num w:numId="81">
    <w:abstractNumId w:val="4"/>
  </w:num>
  <w:num w:numId="82">
    <w:abstractNumId w:val="4"/>
    <w:lvlOverride w:ilvl="0">
      <w:startOverride w:val="1"/>
    </w:lvlOverride>
  </w:num>
  <w:num w:numId="83">
    <w:abstractNumId w:val="4"/>
  </w:num>
  <w:num w:numId="84">
    <w:abstractNumId w:val="4"/>
    <w:lvlOverride w:ilvl="0">
      <w:startOverride w:val="1"/>
    </w:lvlOverride>
  </w:num>
  <w:num w:numId="85">
    <w:abstractNumId w:val="4"/>
  </w:num>
  <w:num w:numId="86">
    <w:abstractNumId w:val="4"/>
    <w:lvlOverride w:ilvl="0">
      <w:startOverride w:val="1"/>
    </w:lvlOverride>
  </w:num>
  <w:num w:numId="87">
    <w:abstractNumId w:val="4"/>
  </w:num>
  <w:num w:numId="88">
    <w:abstractNumId w:val="4"/>
  </w:num>
  <w:num w:numId="89">
    <w:abstractNumId w:val="4"/>
    <w:lvlOverride w:ilvl="0">
      <w:startOverride w:val="1"/>
    </w:lvlOverride>
  </w:num>
  <w:num w:numId="90">
    <w:abstractNumId w:val="4"/>
  </w:num>
  <w:num w:numId="91">
    <w:abstractNumId w:val="4"/>
    <w:lvlOverride w:ilvl="0">
      <w:startOverride w:val="1"/>
    </w:lvlOverride>
  </w:num>
  <w:num w:numId="92">
    <w:abstractNumId w:val="4"/>
  </w:num>
  <w:num w:numId="93">
    <w:abstractNumId w:val="4"/>
    <w:lvlOverride w:ilvl="0">
      <w:startOverride w:val="1"/>
    </w:lvlOverride>
  </w:num>
  <w:num w:numId="94">
    <w:abstractNumId w:val="4"/>
  </w:num>
  <w:num w:numId="95">
    <w:abstractNumId w:val="4"/>
  </w:num>
  <w:num w:numId="96">
    <w:abstractNumId w:val="4"/>
    <w:lvlOverride w:ilvl="0">
      <w:startOverride w:val="1"/>
    </w:lvlOverride>
  </w:num>
  <w:num w:numId="97">
    <w:abstractNumId w:val="4"/>
  </w:num>
  <w:num w:numId="98">
    <w:abstractNumId w:val="4"/>
    <w:lvlOverride w:ilvl="0">
      <w:startOverride w:val="1"/>
    </w:lvlOverride>
  </w:num>
  <w:num w:numId="99">
    <w:abstractNumId w:val="4"/>
  </w:num>
  <w:num w:numId="100">
    <w:abstractNumId w:val="4"/>
  </w:num>
  <w:num w:numId="101">
    <w:abstractNumId w:val="4"/>
  </w:num>
  <w:num w:numId="102">
    <w:abstractNumId w:val="4"/>
    <w:lvlOverride w:ilvl="0">
      <w:startOverride w:val="1"/>
    </w:lvlOverride>
  </w:num>
  <w:num w:numId="103">
    <w:abstractNumId w:val="4"/>
  </w:num>
  <w:num w:numId="104">
    <w:abstractNumId w:val="4"/>
    <w:lvlOverride w:ilvl="0">
      <w:startOverride w:val="1"/>
    </w:lvlOverride>
  </w:num>
  <w:num w:numId="105">
    <w:abstractNumId w:val="4"/>
  </w:num>
  <w:num w:numId="106">
    <w:abstractNumId w:val="4"/>
    <w:lvlOverride w:ilvl="0">
      <w:startOverride w:val="1"/>
    </w:lvlOverride>
  </w:num>
  <w:num w:numId="107">
    <w:abstractNumId w:val="4"/>
  </w:num>
  <w:num w:numId="108">
    <w:abstractNumId w:val="4"/>
    <w:lvlOverride w:ilvl="0">
      <w:startOverride w:val="1"/>
    </w:lvlOverride>
  </w:num>
  <w:num w:numId="109">
    <w:abstractNumId w:val="4"/>
  </w:num>
  <w:num w:numId="110">
    <w:abstractNumId w:val="4"/>
    <w:lvlOverride w:ilvl="0">
      <w:startOverride w:val="1"/>
    </w:lvlOverride>
  </w:num>
  <w:num w:numId="111">
    <w:abstractNumId w:val="4"/>
  </w:num>
  <w:num w:numId="112">
    <w:abstractNumId w:val="4"/>
  </w:num>
  <w:num w:numId="113">
    <w:abstractNumId w:val="4"/>
  </w:num>
  <w:num w:numId="114">
    <w:abstractNumId w:val="4"/>
    <w:lvlOverride w:ilvl="0">
      <w:startOverride w:val="1"/>
    </w:lvlOverride>
  </w:num>
  <w:num w:numId="115">
    <w:abstractNumId w:val="4"/>
  </w:num>
  <w:num w:numId="116">
    <w:abstractNumId w:val="4"/>
    <w:lvlOverride w:ilvl="0">
      <w:startOverride w:val="1"/>
    </w:lvlOverride>
  </w:num>
  <w:num w:numId="117">
    <w:abstractNumId w:val="4"/>
  </w:num>
  <w:num w:numId="118">
    <w:abstractNumId w:val="4"/>
  </w:num>
  <w:num w:numId="119">
    <w:abstractNumId w:val="4"/>
    <w:lvlOverride w:ilvl="0">
      <w:startOverride w:val="1"/>
    </w:lvlOverride>
  </w:num>
  <w:num w:numId="120">
    <w:abstractNumId w:val="4"/>
  </w:num>
  <w:num w:numId="121">
    <w:abstractNumId w:val="4"/>
    <w:lvlOverride w:ilvl="0">
      <w:startOverride w:val="1"/>
    </w:lvlOverride>
  </w:num>
  <w:num w:numId="122">
    <w:abstractNumId w:val="4"/>
    <w:lvlOverride w:ilvl="0">
      <w:startOverride w:val="1"/>
    </w:lvlOverride>
  </w:num>
  <w:num w:numId="123">
    <w:abstractNumId w:val="4"/>
    <w:lvlOverride w:ilvl="0">
      <w:startOverride w:val="1"/>
    </w:lvlOverride>
  </w:num>
  <w:num w:numId="12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554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false"/>
      <w:outlineLvl w:val="2"/>
    </w:pPr>
    <w:rPr>
      <w:rFonts w:ascii="Times" w:hAnsi="Times" w:eastAsia="Times New Roman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 w:val="true"/>
      <w:keepLines/>
      <w:widowControl/>
      <w:suppressAutoHyphens w:val="false"/>
      <w:spacing w:before="0" w:after="0"/>
      <w:contextualSpacing/>
      <w:jc w:val="center"/>
      <w:outlineLvl w:val="6"/>
    </w:pPr>
    <w:rPr>
      <w:rFonts w:ascii="Times New Roman" w:hAnsi="Times New Roman"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14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7087f"/>
    <w:rPr>
      <w:rFonts w:ascii="Times" w:hAnsi="Times" w:eastAsia="Times New Roman" w:cs="Times New Roman"/>
      <w:b/>
      <w:sz w:val="27"/>
      <w:szCs w:val="20"/>
      <w:lang w:eastAsia="ar-SA"/>
    </w:rPr>
  </w:style>
  <w:style w:type="character" w:styleId="Fontepargpadro1" w:customStyle="1">
    <w:name w:val="Fonte parág. padrão1"/>
    <w:qFormat/>
    <w:rsid w:val="0087087f"/>
    <w:rPr/>
  </w:style>
  <w:style w:type="character" w:styleId="CorpodetextoChar" w:customStyle="1">
    <w:name w:val="Corpo de texto Char"/>
    <w:basedOn w:val="DefaultParagraphFont"/>
    <w:link w:val="Corpodetexto"/>
    <w:qFormat/>
    <w:rsid w:val="0087087f"/>
    <w:rPr>
      <w:rFonts w:ascii="Cambria" w:hAnsi="Cambria" w:eastAsia="MS Mincho" w:cs="Times New Roman"/>
      <w:sz w:val="24"/>
      <w:szCs w:val="24"/>
      <w:lang w:eastAsia="ar-SA"/>
    </w:rPr>
  </w:style>
  <w:style w:type="character" w:styleId="CabealhoChar1" w:customStyle="1">
    <w:name w:val="Cabeçalho Char1"/>
    <w:basedOn w:val="DefaultParagraphFont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RodapChar1" w:customStyle="1">
    <w:name w:val="Rodapé Char1"/>
    <w:basedOn w:val="DefaultParagraphFont"/>
    <w:uiPriority w:val="99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Linkdainternetvisitado" w:customStyle="1">
    <w:name w:val="Link da internet visitado"/>
    <w:rsid w:val="0087087f"/>
    <w:rPr>
      <w:color w:val="8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87087f"/>
    <w:rPr>
      <w:rFonts w:ascii="Cambria" w:hAnsi="Cambria" w:eastAsia="Cambria" w:cs="Times New Roman"/>
      <w:sz w:val="24"/>
      <w:szCs w:val="24"/>
      <w:lang w:eastAsia="ar-SA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87087f"/>
    <w:rPr>
      <w:vertAlign w:val="superscript"/>
    </w:rPr>
  </w:style>
  <w:style w:type="character" w:styleId="Strong">
    <w:name w:val="Strong"/>
    <w:uiPriority w:val="22"/>
    <w:qFormat/>
    <w:rsid w:val="0087087f"/>
    <w:rPr>
      <w:b/>
      <w:bCs/>
    </w:rPr>
  </w:style>
  <w:style w:type="character" w:styleId="St" w:customStyle="1">
    <w:name w:val="st"/>
    <w:basedOn w:val="DefaultParagraphFont"/>
    <w:qFormat/>
    <w:rsid w:val="0087087f"/>
    <w:rPr/>
  </w:style>
  <w:style w:type="character" w:styleId="Nfase">
    <w:name w:val="Ênfase"/>
    <w:uiPriority w:val="20"/>
    <w:qFormat/>
    <w:rsid w:val="0087087f"/>
    <w:rPr>
      <w:i/>
    </w:rPr>
  </w:style>
  <w:style w:type="character" w:styleId="Linkurl" w:customStyle="1">
    <w:name w:val="link_url"/>
    <w:basedOn w:val="DefaultParagraphFont"/>
    <w:qFormat/>
    <w:rsid w:val="0087087f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85ceb"/>
    <w:rPr>
      <w:vertAlign w:val="superscript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ar-SA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776b"/>
    <w:rPr>
      <w:rFonts w:ascii="Times New Roman" w:hAnsi="Times New Roman" w:eastAsia="MS Mincho" w:cs="Times New Roman"/>
      <w:b/>
      <w:iCs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a60526"/>
    <w:rPr>
      <w:rFonts w:ascii="Times New Roman" w:hAnsi="Times New Roman" w:eastAsia="Calibri" w:cs="Times New Roman"/>
      <w:b/>
      <w:bCs/>
    </w:rPr>
  </w:style>
  <w:style w:type="character" w:styleId="Fontstyle01" w:customStyle="1">
    <w:name w:val="fontstyle01"/>
    <w:basedOn w:val="DefaultParagraphFont"/>
    <w:qFormat/>
    <w:rsid w:val="006675e4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87087f"/>
    <w:pPr>
      <w:spacing w:before="0" w:after="120"/>
    </w:pPr>
    <w:rPr>
      <w:rFonts w:ascii="Cambria" w:hAnsi="Cambria"/>
    </w:rPr>
  </w:style>
  <w:style w:type="paragraph" w:styleId="Lista">
    <w:name w:val="List"/>
    <w:basedOn w:val="Corpodotexto"/>
    <w:rsid w:val="0087087f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331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33140"/>
    <w:pPr/>
    <w:rPr>
      <w:b/>
      <w:bCs/>
    </w:rPr>
  </w:style>
  <w:style w:type="paragraph" w:styleId="Ttulo11" w:customStyle="1">
    <w:name w:val="Título1"/>
    <w:basedOn w:val="Normal"/>
    <w:next w:val="Corpodotexto"/>
    <w:qFormat/>
    <w:rsid w:val="0087087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Notaderodap">
    <w:name w:val="Footnote Text"/>
    <w:basedOn w:val="Normal"/>
    <w:link w:val="TextodenotaderodapChar"/>
    <w:rsid w:val="0087087f"/>
    <w:pPr>
      <w:widowControl/>
      <w:suppressAutoHyphens w:val="false"/>
      <w:spacing w:before="0" w:after="200"/>
    </w:pPr>
    <w:rPr>
      <w:rFonts w:ascii="Cambria" w:hAnsi="Cambria" w:eastAsia="Cambri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585ceb"/>
    <w:pPr/>
    <w:rPr>
      <w:sz w:val="20"/>
      <w:szCs w:val="20"/>
    </w:rPr>
  </w:style>
  <w:style w:type="paragraph" w:styleId="Xmsonormal" w:customStyle="1">
    <w:name w:val="x_msonormal"/>
    <w:basedOn w:val="Normal"/>
    <w:qFormat/>
    <w:rsid w:val="00585ceb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38245d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38245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38245d"/>
    <w:pPr>
      <w:spacing w:before="0" w:after="120"/>
      <w:ind w:left="283" w:hanging="0"/>
    </w:pPr>
    <w:rPr>
      <w:sz w:val="16"/>
      <w:szCs w:val="16"/>
    </w:rPr>
  </w:style>
  <w:style w:type="paragraph" w:styleId="Xmsolistparagraph" w:customStyle="1">
    <w:name w:val="x_msolistparagraph"/>
    <w:basedOn w:val="Normal"/>
    <w:qFormat/>
    <w:rsid w:val="0060451c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7087f"/>
  </w:style>
  <w:style w:type="numbering" w:styleId="Numerao123" w:customStyle="1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rsid w:val="0063752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rsid w:val="0038245d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3">
    <w:name w:val="Tabela com grade3"/>
    <w:basedOn w:val="Tabelanormal"/>
    <w:uiPriority w:val="39"/>
    <w:rsid w:val="002c67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mples21">
    <w:name w:val="Tabela Simples 21"/>
    <w:basedOn w:val="Tabelanormal"/>
    <w:uiPriority w:val="42"/>
    <w:rsid w:val="002c67ba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88f6dc-21a0-46a6-9ef3-ac13ec2f209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FBD0F-D90F-49F2-88EE-702B6DE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Walter Gustavo Linzmayer</Manager>
  <TotalTime>786</TotalTime>
  <Application>LibreOffice/7.2.2.2$Windows_X86_64 LibreOffice_project/02b2acce88a210515b4a5bb2e46cbfb63fe97d56</Application>
  <AppVersion>15.0000</AppVersion>
  <Pages>10</Pages>
  <Words>3019</Words>
  <Characters>17498</Characters>
  <CharactersWithSpaces>20196</CharactersWithSpaces>
  <Paragraphs>519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2021-10-27T19:39:00Z</dcterms:created>
  <dc:creator>Walter Gustavo Linzmayer</dc:creator>
  <dc:description/>
  <cp:keywords>Setor Setor Setor Setor Setor de Fiscalização</cp:keywords>
  <dc:language>pt-BR</dc:language>
  <cp:lastModifiedBy/>
  <cp:lastPrinted>2021-09-09T14:41:00Z</cp:lastPrinted>
  <dcterms:modified xsi:type="dcterms:W3CDTF">2021-12-22T13:45:19Z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