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30" w:type="dxa"/>
        <w:jc w:val="left"/>
        <w:tblInd w:w="2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1"/>
        <w:gridCol w:w="791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left="10"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bCs w:val="false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left="10"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CPUA-CAUPR</w:t>
            </w:r>
          </w:p>
        </w:tc>
      </w:tr>
      <w:tr>
        <w:trPr>
          <w:trHeight w:val="342" w:hRule="atLeast"/>
        </w:trPr>
        <w:tc>
          <w:tcPr>
            <w:tcW w:w="18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pt-BR" w:bidi="ar-SA"/>
              </w:rPr>
              <w:t>ASSUNTO</w:t>
            </w:r>
          </w:p>
        </w:tc>
        <w:tc>
          <w:tcPr>
            <w:tcW w:w="79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ind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  <w:t>Alargamento da orla do litoral do Paraná</w:t>
            </w:r>
          </w:p>
        </w:tc>
      </w:tr>
      <w:tr>
        <w:trPr>
          <w:trHeight w:val="34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2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</w:rPr>
            </w:r>
          </w:p>
        </w:tc>
      </w:tr>
      <w:tr>
        <w:trPr/>
        <w:tc>
          <w:tcPr>
            <w:tcW w:w="972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DELIBERAÇÃO Nº 0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CPUA-CAU/PR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2"/>
        </w:rPr>
        <w:t xml:space="preserve">A </w:t>
      </w:r>
      <w:r>
        <w:rPr>
          <w:rFonts w:cs="Calibri" w:ascii="Times New Roman" w:hAnsi="Times New Roman"/>
          <w:sz w:val="22"/>
        </w:rPr>
        <w:t>Comissão Especial de Política Urbana e Ambiental</w:t>
      </w:r>
      <w:r>
        <w:rPr>
          <w:rFonts w:cs="Times New Roman" w:ascii="Times New Roman" w:hAnsi="Times New Roman"/>
          <w:sz w:val="22"/>
        </w:rPr>
        <w:t xml:space="preserve"> (CPUA-CAU/PR),</w:t>
      </w:r>
      <w:r>
        <w:rPr>
          <w:rFonts w:cs="Calibri" w:ascii="Times New Roman" w:hAnsi="Times New Roman"/>
          <w:sz w:val="22"/>
        </w:rPr>
        <w:t xml:space="preserve"> reunida ordinariamente por meio de reunião remota, realizada através da plataforma </w:t>
      </w:r>
      <w:r>
        <w:rPr>
          <w:rFonts w:cs="Calibri" w:ascii="Times New Roman" w:hAnsi="Times New Roman"/>
          <w:i/>
          <w:sz w:val="22"/>
        </w:rPr>
        <w:t>Microsoft Teams,</w:t>
      </w:r>
      <w:r>
        <w:rPr>
          <w:rFonts w:cs="Times New Roman" w:ascii="Times New Roman" w:hAnsi="Times New Roman"/>
          <w:sz w:val="22"/>
        </w:rPr>
        <w:t xml:space="preserve"> no dia 28 de junho de 2022, </w:t>
      </w:r>
      <w:r>
        <w:rPr>
          <w:rFonts w:cs="Calibri" w:ascii="Times New Roman" w:hAnsi="Times New Roman"/>
          <w:sz w:val="22"/>
        </w:rPr>
        <w:t>no uso das competências que lhe conferem o artigo 12, § 1º, da Resolução CAU/BR nº 104, o artigo 2º, inciso III, alínea ‘b’, da Resolução CAU/BR nº 30,</w:t>
      </w:r>
      <w:r>
        <w:rPr>
          <w:rFonts w:cs="Times New Roman" w:ascii="Times New Roman" w:hAnsi="Times New Roman"/>
          <w:sz w:val="22"/>
        </w:rPr>
        <w:t xml:space="preserve"> e</w:t>
      </w:r>
    </w:p>
    <w:p>
      <w:pPr>
        <w:pStyle w:val="Normal"/>
        <w:shd w:val="clear" w:color="auto" w:fill="FFFFFF"/>
        <w:spacing w:lineRule="auto" w:line="276"/>
        <w:rPr/>
      </w:pPr>
      <w:r>
        <w:rPr>
          <w:rFonts w:cs="Times New Roman" w:ascii="Times New Roman" w:hAnsi="Times New Roman"/>
          <w:sz w:val="22"/>
        </w:rPr>
        <w:t>Considerando o debate e conhecimento da matéria no que tange as políticas urbana e ambiental no Paraná em pauta e apreciação pela CPUA-CAU/PR;</w:t>
      </w:r>
    </w:p>
    <w:p>
      <w:pPr>
        <w:pStyle w:val="Normal"/>
        <w:widowControl w:val="false"/>
        <w:suppressAutoHyphens w:val="false"/>
        <w:spacing w:before="0" w:after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eastAsia="Arial" w:cs="Arial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>Considerando que o</w:t>
      </w:r>
      <w:r>
        <w:rPr>
          <w:rFonts w:ascii="Times New Roman" w:hAnsi="Times New Roman"/>
          <w:bCs/>
          <w:kern w:val="0"/>
          <w:sz w:val="22"/>
          <w:szCs w:val="22"/>
          <w:lang w:val="pt-BR" w:bidi="ar-SA"/>
        </w:rPr>
        <w:t xml:space="preserve"> relator 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 xml:space="preserve">Gustavo 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 xml:space="preserve">pontuou que os últimos processos de licenciamento do Paraná que não foi muito aprofundado na plenária de Matinhos, como a faixa de infraestrutura que passa em área indígena, de mata atlântica com 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 xml:space="preserve">o 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>C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 xml:space="preserve">onsorcio 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>S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>ambaqui, que passou e atropelou um monte de processo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>s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 xml:space="preserve">, as próprias 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>U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 xml:space="preserve">niversidades e entidades pelo COLIT questionaram e foram judicializadas. A dragagem da baia, a engorda da área de 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>M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 xml:space="preserve">atinhos que está sendo feita como obra de envergadura do 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>E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 xml:space="preserve">stado que também está sendo questionada 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 xml:space="preserve">o licenciamento ambiental, 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 xml:space="preserve">as irregularidades 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>na aprovação com até possíveis crimes ambientais da diretoria do IAT, no STU.</w:t>
      </w:r>
    </w:p>
    <w:p>
      <w:pPr>
        <w:pStyle w:val="Normal"/>
        <w:widowControl w:val="false"/>
        <w:shd w:val="clear" w:color="auto" w:fill="FFFFFF"/>
        <w:suppressAutoHyphens w:val="false"/>
        <w:spacing w:lineRule="auto" w:line="276" w:before="0" w:after="0"/>
        <w:jc w:val="both"/>
        <w:rPr/>
      </w:pP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 xml:space="preserve">Considerando </w:t>
      </w: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>o total despreparo ou desrespeito a ferramenta e o processo de planejamento.</w:t>
      </w:r>
    </w:p>
    <w:p>
      <w:pPr>
        <w:pStyle w:val="Normal"/>
        <w:widowControl w:val="false"/>
        <w:shd w:val="clear" w:color="auto" w:fill="FFFFFF"/>
        <w:suppressAutoHyphens w:val="false"/>
        <w:spacing w:lineRule="auto" w:line="276" w:before="0" w:after="0"/>
        <w:jc w:val="both"/>
        <w:rPr/>
      </w:pP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 xml:space="preserve">Considerando a 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/>
          <w:color w:val="000000"/>
          <w:spacing w:val="0"/>
          <w:kern w:val="0"/>
          <w:sz w:val="22"/>
          <w:szCs w:val="22"/>
          <w:lang w:val="pt-BR" w:eastAsia="pt-BR" w:bidi="ar-SA"/>
        </w:rPr>
        <w:t>L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/>
          <w:color w:val="000000"/>
          <w:spacing w:val="0"/>
          <w:kern w:val="0"/>
          <w:sz w:val="22"/>
          <w:szCs w:val="22"/>
          <w:lang w:val="pt-BR" w:eastAsia="pt-BR" w:bidi="ar-SA"/>
        </w:rPr>
        <w:t>ei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/>
          <w:color w:val="000000"/>
          <w:spacing w:val="0"/>
          <w:kern w:val="0"/>
          <w:sz w:val="22"/>
          <w:szCs w:val="22"/>
          <w:lang w:val="pt-BR" w:eastAsia="pt-BR" w:bidi="ar-SA"/>
        </w:rPr>
        <w:t xml:space="preserve"> Nº 12.378 DE 31 DE DEZEMBRO DE 2010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Art. 24.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/>
          <w:color w:val="000000"/>
          <w:spacing w:val="0"/>
          <w:kern w:val="0"/>
          <w:sz w:val="22"/>
          <w:szCs w:val="22"/>
          <w:lang w:val="pt-BR" w:eastAsia="pt-BR" w:bidi="ar-SA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§ 1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position w:val="7"/>
          <w:sz w:val="18"/>
          <w:sz w:val="22"/>
          <w:szCs w:val="22"/>
          <w:u w:val="single"/>
          <w:lang w:val="pt-BR" w:eastAsia="pt-BR" w:bidi="ar-SA"/>
        </w:rPr>
        <w:t>o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 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/>
          <w:color w:val="000000"/>
          <w:spacing w:val="0"/>
          <w:kern w:val="0"/>
          <w:sz w:val="22"/>
          <w:szCs w:val="22"/>
          <w:lang w:val="pt-BR" w:eastAsia="pt-BR" w:bidi="ar-SA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 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/>
          <w:color w:val="000000"/>
          <w:spacing w:val="0"/>
          <w:kern w:val="0"/>
          <w:sz w:val="22"/>
          <w:szCs w:val="22"/>
          <w:lang w:val="pt-BR" w:eastAsia="pt-BR" w:bidi="ar-SA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</w:t>
      </w:r>
    </w:p>
    <w:p>
      <w:pPr>
        <w:pStyle w:val="LONormal"/>
        <w:tabs>
          <w:tab w:val="clear" w:pos="708"/>
          <w:tab w:val="left" w:pos="1418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76"/>
        <w:jc w:val="both"/>
        <w:rPr/>
      </w:pP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>Solicitar que a presidência do CAUPR oficialize todos os órgãos entidades que estão envolvidas(Governo do Estado, Prefeituras, Ministério Pulico), nos colocando a disposição para cooperar nesse processo como órgão consultor para nos posicionarmos de alguma forma e divulgar na mídia para que a sociedade tenha conhecimento que temos uma relação direta com o que está ocorrendo.</w:t>
      </w:r>
    </w:p>
    <w:p>
      <w:pPr>
        <w:pStyle w:val="LONormal"/>
        <w:widowControl w:val="false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76"/>
        <w:jc w:val="both"/>
        <w:rPr/>
      </w:pPr>
      <w:r>
        <w:rPr>
          <w:rFonts w:cs="Calibri" w:ascii="Times New Roman" w:hAnsi="Times New Roman"/>
          <w:sz w:val="22"/>
          <w:szCs w:val="22"/>
        </w:rPr>
        <w:t>Encaminha</w:t>
      </w:r>
      <w:r>
        <w:rPr>
          <w:rFonts w:eastAsia="Cambria" w:cs="Calibri" w:ascii="Times New Roman" w:hAnsi="Times New Roman"/>
          <w:sz w:val="22"/>
          <w:szCs w:val="22"/>
        </w:rPr>
        <w:t>r</w:t>
      </w:r>
      <w:r>
        <w:rPr>
          <w:rFonts w:cs="Calibri" w:ascii="Times New Roman" w:hAnsi="Times New Roman"/>
          <w:sz w:val="22"/>
          <w:szCs w:val="22"/>
        </w:rPr>
        <w:t xml:space="preserve"> para apreciação </w:t>
      </w:r>
      <w:r>
        <w:rPr>
          <w:rFonts w:eastAsia="Cambria" w:cs="Calibri" w:ascii="Times New Roman" w:hAnsi="Times New Roman"/>
          <w:sz w:val="22"/>
          <w:szCs w:val="22"/>
        </w:rPr>
        <w:t>da</w:t>
      </w:r>
      <w:r>
        <w:rPr>
          <w:rFonts w:cs="Calibri" w:ascii="Times New Roman" w:hAnsi="Times New Roman"/>
          <w:sz w:val="22"/>
          <w:szCs w:val="22"/>
        </w:rPr>
        <w:t xml:space="preserve"> plenária do CAU/PR.</w:t>
      </w:r>
    </w:p>
    <w:p>
      <w:pPr>
        <w:pStyle w:val="LO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Encaminhar esta deliberação à Presidência do CAU/PR, para os devidos encaminhamentos.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Esta deliberação entra em vigor nesta data.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sz w:val="22"/>
        </w:rPr>
        <w:t>Curitiba (PR), 28 de junho de 2022.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kern w:val="0"/>
                <w:sz w:val="22"/>
                <w:szCs w:val="22"/>
                <w:lang w:val="pt-BR" w:bidi="ar-SA"/>
              </w:rPr>
              <w:t>ORMY LEOCÁDIO HUTNER JUNIOR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kern w:val="0"/>
                <w:szCs w:val="22"/>
                <w:lang w:val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Adjunto CPUA-CAU/PR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CPUA-CAU/PR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  <w:r>
        <w:br w:type="page"/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79"/>
        <w:gridCol w:w="3969"/>
        <w:gridCol w:w="949"/>
        <w:gridCol w:w="952"/>
        <w:gridCol w:w="950"/>
        <w:gridCol w:w="952"/>
      </w:tblGrid>
      <w:tr>
        <w:trPr>
          <w:trHeight w:val="220" w:hRule="atLeast"/>
        </w:trPr>
        <w:tc>
          <w:tcPr>
            <w:tcW w:w="9751" w:type="dxa"/>
            <w:gridSpan w:val="6"/>
            <w:tcBorders/>
          </w:tcPr>
          <w:p>
            <w:pPr>
              <w:pStyle w:val="Normal"/>
              <w:pageBreakBefore/>
              <w:widowControl w:val="false"/>
              <w:tabs>
                <w:tab w:val="clear" w:pos="708"/>
                <w:tab w:val="left" w:pos="496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5ª REUNIÃO ORDINÁRIA DA CPUA-CAU/PR 2022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96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Videoconferência</w:t>
            </w:r>
          </w:p>
        </w:tc>
      </w:tr>
      <w:tr>
        <w:trPr>
          <w:trHeight w:val="220" w:hRule="atLeast"/>
        </w:trPr>
        <w:tc>
          <w:tcPr>
            <w:tcW w:w="9751" w:type="dxa"/>
            <w:gridSpan w:val="6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Folha de Votação</w:t>
            </w:r>
          </w:p>
        </w:tc>
      </w:tr>
      <w:tr>
        <w:trPr>
          <w:trHeight w:val="230" w:hRule="atLeast"/>
        </w:trPr>
        <w:tc>
          <w:tcPr>
            <w:tcW w:w="197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Conselheiros</w:t>
            </w:r>
          </w:p>
        </w:tc>
        <w:tc>
          <w:tcPr>
            <w:tcW w:w="3803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979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69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Sim</w:t>
            </w:r>
          </w:p>
        </w:tc>
        <w:tc>
          <w:tcPr>
            <w:tcW w:w="952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Não</w:t>
            </w:r>
          </w:p>
        </w:tc>
        <w:tc>
          <w:tcPr>
            <w:tcW w:w="95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97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Coord. Adjunto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Walter Gustavo Linzmeyer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Antônio Ricardo Nunes Sardo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Vandinês Gremaschi Canassa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97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Maugham Zaze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751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18" w:hRule="atLeast"/>
        </w:trPr>
        <w:tc>
          <w:tcPr>
            <w:tcW w:w="97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Histórico da votação: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5ª REUNIÃO ORDINÁRIA CPUA-CAU/PR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Data: 28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/06/2022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Matéria em votação: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Resultado da votação: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Sim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(5),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Não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(0),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Abstenções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(0),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Ausências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(0)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do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Total de 5 (Cinco) Conselheiros.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Ocorrências: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Assistente Técnica: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Caori Nakano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| Condução dos Trabalhos (Coord):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Walter Gustavo Linzmeyer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0"/>
    <w:family w:val="swiss"/>
    <w:pitch w:val="default"/>
  </w:font>
  <w:font w:name="Segoe UI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roman"/>
    <w:pitch w:val="variable"/>
  </w:font>
  <w:font w:name="DaxCondensed-Regular">
    <w:charset w:val="01"/>
    <w:family w:val="swiss"/>
    <w:pitch w:val="default"/>
  </w:font>
  <w:font w:name="DaxCondense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b/>
        <w:b/>
        <w:sz w:val="18"/>
        <w:szCs w:val="18"/>
      </w:rPr>
    </w:pPr>
    <w:r>
      <w:rPr>
        <w:rFonts w:eastAsia="Calibri" w:cs="Calibri" w:ascii="Calibri" w:hAnsi="Calibri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4" w:before="0" w:after="0"/>
      <w:ind w:left="10" w:right="10" w:hanging="10"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1" wp14:anchorId="6B357445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4185" cy="142240"/>
              <wp:effectExtent l="0" t="0" r="0" b="0"/>
              <wp:wrapNone/>
              <wp:docPr id="4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6.45pt;height:11.1pt;mso-wrap-style:square;v-text-anchor:middle" wp14:anchorId="6B35744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Calibri" w:hAnsi="Calibri"/>
        <w:color w:val="A6A6A6"/>
        <w:sz w:val="18"/>
        <w:szCs w:val="18"/>
      </w:rPr>
      <w:t>Sede Casa Mário de Mari • Av. Nossa Senhora da Luz, 2.530 • 80045-360 • Curitiba/PR • +55(41)3218.0200</w:t>
    </w:r>
  </w:p>
  <w:p>
    <w:pPr>
      <w:pStyle w:val="Normal"/>
      <w:spacing w:before="0" w:after="0"/>
      <w:ind w:left="11" w:right="6" w:hanging="10"/>
      <w:jc w:val="center"/>
      <w:rPr>
        <w:rFonts w:ascii="DaxCondensed" w:hAnsi="DaxCondensed" w:eastAsia="DaxCondensed" w:cs="DaxCondensed"/>
        <w:b/>
        <w:b/>
        <w:sz w:val="18"/>
        <w:szCs w:val="18"/>
      </w:rPr>
    </w:pPr>
    <w:r>
      <w:rPr>
        <w:rFonts w:eastAsia="DaxCondensed" w:cs="DaxCondensed" w:ascii="DaxCondensed" w:hAnsi="DaxCondensed"/>
        <w:b/>
        <w:color w:val="A6A6A6"/>
        <w:sz w:val="18"/>
        <w:szCs w:val="18"/>
      </w:rPr>
      <w:t>Deliberação n.º 04/2022 da CPUA-CAU/PR, de 28 de junho de 2022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b/>
        <w:b/>
        <w:sz w:val="18"/>
        <w:szCs w:val="18"/>
      </w:rPr>
    </w:pPr>
    <w:r>
      <w:rPr>
        <w:rFonts w:eastAsia="Calibri" w:cs="Calibri" w:ascii="Calibri" w:hAnsi="Calibri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4" w:before="0" w:after="0"/>
      <w:ind w:left="10" w:right="10" w:hanging="10"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1" wp14:anchorId="6B357445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4185" cy="142240"/>
              <wp:effectExtent l="0" t="0" r="0" b="0"/>
              <wp:wrapNone/>
              <wp:docPr id="6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6.45pt;height:11.1pt;mso-wrap-style:square;v-text-anchor:middle" wp14:anchorId="6B35744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Calibri" w:hAnsi="Calibri"/>
        <w:color w:val="A6A6A6"/>
        <w:sz w:val="18"/>
        <w:szCs w:val="18"/>
      </w:rPr>
      <w:t>Sede Casa Mário de Mari • Av. Nossa Senhora da Luz, 2.530 • 80045-360 • Curitiba/PR • +55(41)3218.0200</w:t>
    </w:r>
  </w:p>
  <w:p>
    <w:pPr>
      <w:pStyle w:val="Normal"/>
      <w:spacing w:before="0" w:after="0"/>
      <w:ind w:left="11" w:right="6" w:hanging="10"/>
      <w:jc w:val="center"/>
      <w:rPr>
        <w:rFonts w:ascii="DaxCondensed" w:hAnsi="DaxCondensed" w:eastAsia="DaxCondensed" w:cs="DaxCondensed"/>
        <w:b/>
        <w:b/>
        <w:sz w:val="18"/>
        <w:szCs w:val="18"/>
      </w:rPr>
    </w:pPr>
    <w:r>
      <w:rPr>
        <w:rFonts w:eastAsia="DaxCondensed" w:cs="DaxCondensed" w:ascii="DaxCondensed" w:hAnsi="DaxCondensed"/>
        <w:b/>
        <w:color w:val="A6A6A6"/>
        <w:sz w:val="18"/>
        <w:szCs w:val="18"/>
      </w:rPr>
      <w:t>Deliberação n.º 04/2022 da CPUA-CAU/PR, de 28 de junho de 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7519007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407F82FD">
              <wp:simplePos x="0" y="0"/>
              <wp:positionH relativeFrom="page">
                <wp:posOffset>2978150</wp:posOffset>
              </wp:positionH>
              <wp:positionV relativeFrom="topMargin">
                <wp:posOffset>702310</wp:posOffset>
              </wp:positionV>
              <wp:extent cx="3354070" cy="187325"/>
              <wp:effectExtent l="0" t="0" r="0" b="0"/>
              <wp:wrapNone/>
              <wp:docPr id="2" name="Retângulo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 xml:space="preserve"> </w:t>
                          </w: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PRCAU/PR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1" path="m0,0l-2147483645,0l-2147483645,-2147483646l0,-2147483646xe" stroked="f" o:allowincell="f" style="position:absolute;margin-left:234.5pt;margin-top:55.3pt;width:264pt;height:14.65pt;mso-wrap-style:square;v-text-anchor:middle;mso-position-horizontal-relative:page" wp14:anchorId="407F82F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Comissão de Política Urbana e Ambiental • CPUA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 xml:space="preserve"> </w:t>
                    </w: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PRCAU/PR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2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cstheme="minorBidi"/>
      <w:color w:val="auto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5A4B-4A2B-45B8-9B68-F513DC56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LibreOffice/7.2.2.2$Windows_X86_64 LibreOffice_project/02b2acce88a210515b4a5bb2e46cbfb63fe97d56</Application>
  <AppVersion>15.0000</AppVersion>
  <Pages>2</Pages>
  <Words>564</Words>
  <Characters>3059</Characters>
  <CharactersWithSpaces>3804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2022-05-31T13:04:00Z</dcterms:created>
  <dc:creator>user</dc:creator>
  <dc:description/>
  <dc:language>pt-BR</dc:language>
  <cp:lastModifiedBy/>
  <cp:lastPrinted>2021-10-26T13:05:00Z</cp:lastPrinted>
  <dcterms:modified xsi:type="dcterms:W3CDTF">2022-07-01T16:52:28Z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