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30" w:type="dxa"/>
        <w:jc w:val="left"/>
        <w:tblInd w:w="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3"/>
        <w:gridCol w:w="792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sz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lang w:eastAsia="en-US"/>
              </w:rPr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CPUA-CAUPR</w:t>
            </w:r>
          </w:p>
        </w:tc>
      </w:tr>
      <w:tr>
        <w:trPr>
          <w:trHeight w:val="342" w:hRule="atLeast"/>
        </w:trPr>
        <w:tc>
          <w:tcPr>
            <w:tcW w:w="18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pt-BR" w:bidi="ar-SA"/>
              </w:rPr>
              <w:t>ASSUNTO</w:t>
            </w:r>
          </w:p>
        </w:tc>
        <w:tc>
          <w:tcPr>
            <w:tcW w:w="792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23130"/>
                <w:spacing w:val="0"/>
                <w:kern w:val="0"/>
                <w:sz w:val="22"/>
                <w:szCs w:val="22"/>
                <w:lang w:val="pt-BR" w:eastAsia="pt-BR" w:bidi="ar-SA"/>
              </w:rPr>
              <w:t>Missão Internacional CAU/PR - 58th ISOCARP World Planning Congress</w:t>
            </w:r>
          </w:p>
        </w:tc>
      </w:tr>
      <w:tr>
        <w:trPr>
          <w:trHeight w:val="34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2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</w:rPr>
            </w:r>
          </w:p>
        </w:tc>
      </w:tr>
      <w:tr>
        <w:trPr/>
        <w:tc>
          <w:tcPr>
            <w:tcW w:w="972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DELIBERAÇÃO Nº 07/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2022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CPUA-CAU/PR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 </w:t>
      </w:r>
      <w:r>
        <w:rPr>
          <w:rFonts w:cs="Calibri" w:ascii="Times New Roman" w:hAnsi="Times New Roman"/>
          <w:sz w:val="22"/>
          <w:szCs w:val="22"/>
        </w:rPr>
        <w:t>Comissão Especial de Política Urbana e Ambiental</w:t>
      </w:r>
      <w:r>
        <w:rPr>
          <w:rFonts w:cs="Times New Roman" w:ascii="Times New Roman" w:hAnsi="Times New Roman"/>
          <w:sz w:val="22"/>
          <w:szCs w:val="22"/>
        </w:rPr>
        <w:t xml:space="preserve"> (CPUA-CAU/PR),</w:t>
      </w:r>
      <w:r>
        <w:rPr>
          <w:rFonts w:cs="Calibri" w:ascii="Times New Roman" w:hAnsi="Times New Roman"/>
          <w:sz w:val="22"/>
          <w:szCs w:val="22"/>
        </w:rPr>
        <w:t xml:space="preserve"> reunida ordinariamente por meio de reunião remota, realizada através da plataforma </w:t>
      </w:r>
      <w:r>
        <w:rPr>
          <w:rFonts w:cs="Calibri" w:ascii="Times New Roman" w:hAnsi="Times New Roman"/>
          <w:i/>
          <w:sz w:val="22"/>
          <w:szCs w:val="22"/>
        </w:rPr>
        <w:t>Microsoft Teams,</w:t>
      </w:r>
      <w:r>
        <w:rPr>
          <w:rFonts w:cs="Times New Roman" w:ascii="Times New Roman" w:hAnsi="Times New Roman"/>
          <w:sz w:val="22"/>
          <w:szCs w:val="22"/>
        </w:rPr>
        <w:t xml:space="preserve"> no dia 29 de </w:t>
      </w:r>
      <w:r>
        <w:rPr>
          <w:rFonts w:eastAsia="Arial" w:cs="Times New Roman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agosto</w:t>
      </w:r>
      <w:r>
        <w:rPr>
          <w:rFonts w:cs="Times New Roman" w:ascii="Times New Roman" w:hAnsi="Times New Roman"/>
          <w:sz w:val="22"/>
          <w:szCs w:val="22"/>
        </w:rPr>
        <w:t xml:space="preserve"> de 2022, </w:t>
      </w:r>
      <w:r>
        <w:rPr>
          <w:rFonts w:cs="Calibri" w:ascii="Times New Roman" w:hAnsi="Times New Roman"/>
          <w:sz w:val="22"/>
          <w:szCs w:val="22"/>
        </w:rPr>
        <w:t>no uso das competências que lhe conferem o artigo 12, § 1º, da Resolução CAU/BR nº 104, o artigo 2º, inciso III, alínea ‘b’, da Resolução CAU/BR nº 30,</w:t>
      </w:r>
      <w:r>
        <w:rPr>
          <w:rFonts w:cs="Times New Roman" w:ascii="Times New Roman" w:hAnsi="Times New Roman"/>
          <w:sz w:val="22"/>
          <w:szCs w:val="22"/>
        </w:rPr>
        <w:t xml:space="preserve"> e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Considerando o debate e conhecimento da matéria no que tange as políticas urbana e ambiental no Paraná em pauta e apreciação pela CPUA-CAU/PR; 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Considerando a 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Lei Nº 12.378 DE 31 DE DEZEMBRO DE 2010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Art. 24.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§ 1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position w:val="7"/>
          <w:sz w:val="22"/>
          <w:szCs w:val="22"/>
          <w:u w:val="single"/>
          <w:lang w:val="pt-BR" w:eastAsia="pt-BR" w:bidi="ar-SA"/>
        </w:rPr>
        <w:t>o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 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jc w:val="both"/>
        <w:rPr/>
      </w:pPr>
      <w:r>
        <w:rPr>
          <w:rFonts w:eastAsia="Arial" w:cs="Times New Roman" w:ascii="TimesNewRomanPSMT" w:hAnsi="TimesNewRomanPSMT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Considerando que o conselheiro Ormy Hütner Jr foi informado sobre o evento do Congresso Internacional a </w:t>
      </w:r>
      <w:r>
        <w:rPr>
          <w:rFonts w:ascii="TimesNewRomanPSMT" w:hAnsi="TimesNewRomanPSMT"/>
          <w:sz w:val="22"/>
        </w:rPr>
        <w:t>ocorrer em Bruxelas, Bélgica, conforme dados podem ser acessados no link a seguir: &lt;</w:t>
      </w:r>
      <w:hyperlink r:id="rId2">
        <w:r>
          <w:rPr>
            <w:rStyle w:val="LinkdaInternet"/>
            <w:rFonts w:ascii="TimesNewRomanPSMT" w:hAnsi="TimesNewRomanPSMT"/>
            <w:sz w:val="22"/>
          </w:rPr>
          <w:t>https://brussels2022.isocarp</w:t>
        </w:r>
      </w:hyperlink>
      <w:r>
        <w:rPr>
          <w:rFonts w:ascii="TimesNewRomanPSMT" w:hAnsi="TimesNewRomanPSMT"/>
          <w:sz w:val="22"/>
        </w:rPr>
        <w:t>.org/index.php &gt;.</w:t>
      </w:r>
    </w:p>
    <w:p>
      <w:pPr>
        <w:pStyle w:val="Normal"/>
        <w:jc w:val="both"/>
        <w:rPr/>
      </w:pPr>
      <w:r>
        <w:rPr>
          <w:rFonts w:ascii="TimesNewRomanPSMT" w:hAnsi="TimesNewRomanPSMT"/>
          <w:sz w:val="22"/>
        </w:rPr>
        <w:t>Considerando que no período do evento o conselheiro já estará na Europa, por conta de compromissos acadêmicos, e desta forma não será necessário o pagamento de passagens aéreas entre Brasil e Europa.</w:t>
      </w:r>
    </w:p>
    <w:p>
      <w:pPr>
        <w:pStyle w:val="Normal"/>
        <w:jc w:val="both"/>
        <w:rPr/>
      </w:pPr>
      <w:r>
        <w:rPr>
          <w:rFonts w:ascii="TimesNewRomanPSMT" w:hAnsi="TimesNewRomanPSMT"/>
          <w:sz w:val="22"/>
        </w:rPr>
        <w:t>Considerando que o tema do evento, que ocorre entre os dias 03 e 06 de Outubro na cidade de Bruxelas/Bélgica, é Cidades Saudáveis, e este tem correlação direta com um dos projetos prioritários da CPUA do CAU/PR.</w:t>
      </w:r>
    </w:p>
    <w:p>
      <w:pPr>
        <w:pStyle w:val="Normal"/>
        <w:jc w:val="both"/>
        <w:rPr/>
      </w:pPr>
      <w:r>
        <w:rPr>
          <w:rFonts w:ascii="TimesNewRomanPSMT" w:hAnsi="TimesNewRomanPSMT"/>
          <w:sz w:val="22"/>
        </w:rPr>
        <w:t>Considerando que a proposta desta missão internacional é buscar, além de formação continuada sobre o tema das cidades com foco em saúde e bem-estar da população, criar pontes entre o CAU/PR e profissionais renomados do exterior, como forma de enriquecer o Seminário Internacional a ocorrer no próximo ano.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ind w:left="1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DELIBERA: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Times New Roman" w:ascii="TimesNewRomanPSMT" w:hAnsi="TimesNewRomanPSMT"/>
          <w:b w:val="false"/>
          <w:bCs/>
          <w:i w:val="false"/>
          <w:caps w:val="false"/>
          <w:smallCaps w:val="false"/>
          <w:color w:val="201F1E"/>
          <w:spacing w:val="0"/>
          <w:kern w:val="0"/>
          <w:sz w:val="22"/>
          <w:szCs w:val="22"/>
          <w:lang w:val="pt-BR" w:eastAsia="pt-BR" w:bidi="ar-SA"/>
        </w:rPr>
        <w:t xml:space="preserve">Solicitar aprovação em plenária, o pagamento de diárias e deslocamentos internos ao continente que se </w:t>
      </w:r>
      <w:r>
        <w:rPr>
          <w:rFonts w:ascii="TimesNewRomanPSMT" w:hAnsi="TimesNewRomanPSMT"/>
          <w:color w:val="201F1E"/>
          <w:sz w:val="22"/>
        </w:rPr>
        <w:t>faça necessário para participação deste evento e, havendo concordância com o tema, o mesmo deverá ser discutido conjuntamente pela COA e CPFI do CAU/PR para as tratativas administrativas e financeiras para garantir a participação do conselheiro no evento.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eastAsia="Arial" w:cs="Times New Roman" w:ascii="TimesNewRomanPSMT" w:hAnsi="TimesNewRomanPSMT"/>
          <w:b w:val="false"/>
          <w:bCs/>
          <w:i w:val="false"/>
          <w:caps w:val="false"/>
          <w:smallCaps w:val="false"/>
          <w:color w:val="201F1E"/>
          <w:spacing w:val="0"/>
          <w:kern w:val="0"/>
          <w:sz w:val="22"/>
          <w:szCs w:val="22"/>
          <w:lang w:val="pt-BR" w:eastAsia="pt-BR" w:bidi="ar-SA"/>
        </w:rPr>
        <w:t xml:space="preserve">Subsidiar futuros eventos e ações de projetos prioritários da CPUA do CAU/PR gestão 2021/2023, já </w:t>
      </w:r>
      <w:r>
        <w:rPr>
          <w:rFonts w:ascii="TimesNewRomanPSMT" w:hAnsi="TimesNewRomanPSMT"/>
          <w:color w:val="201F1E"/>
          <w:sz w:val="22"/>
        </w:rPr>
        <w:t>em curso a respeito do tema do Congresso, por conta das discussões a serem apresentadas no evento.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Times New Roman" w:ascii="TimesNewRomanPSMT" w:hAnsi="TimesNewRomanPSMT"/>
          <w:b w:val="false"/>
          <w:bCs/>
          <w:i w:val="false"/>
          <w:caps w:val="false"/>
          <w:smallCaps w:val="false"/>
          <w:color w:val="201F1E"/>
          <w:spacing w:val="0"/>
          <w:kern w:val="0"/>
          <w:sz w:val="22"/>
          <w:szCs w:val="22"/>
          <w:lang w:val="pt-BR" w:eastAsia="pt-BR" w:bidi="ar-SA"/>
        </w:rPr>
        <w:t xml:space="preserve">Solicitar apoio do setor de comunicação do CAUPR na divulgação e sistematização deste evento, assim </w:t>
      </w:r>
      <w:r>
        <w:rPr>
          <w:rFonts w:ascii="TimesNewRomanPSMT" w:hAnsi="TimesNewRomanPSMT"/>
          <w:color w:val="201F1E"/>
          <w:sz w:val="22"/>
        </w:rPr>
        <w:t>como nos futuros eventos a serem organizados pela CPUA do CAU/PR dentro do tema apresentado.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Encaminhar esta deliberação à Presidência do CAU/PR, para os devidos encaminhamentos.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Curitiba (PR), 29 de agosto de 2022.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752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pacing w:val="4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2"/>
                <w:szCs w:val="22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4"/>
                <w:kern w:val="0"/>
                <w:sz w:val="22"/>
                <w:szCs w:val="22"/>
                <w:lang w:val="pt-BR" w:bidi="ar-SA"/>
              </w:rPr>
              <w:t>Coordenador 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CPUA-CAU/PR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  <w:r>
        <w:br w:type="page"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8"/>
        <w:gridCol w:w="3969"/>
        <w:gridCol w:w="949"/>
        <w:gridCol w:w="953"/>
        <w:gridCol w:w="954"/>
        <w:gridCol w:w="948"/>
      </w:tblGrid>
      <w:tr>
        <w:trPr>
          <w:trHeight w:val="220" w:hRule="atLeast"/>
        </w:trPr>
        <w:tc>
          <w:tcPr>
            <w:tcW w:w="9751" w:type="dxa"/>
            <w:gridSpan w:val="6"/>
            <w:tcBorders/>
          </w:tcPr>
          <w:p>
            <w:pPr>
              <w:pStyle w:val="Normal"/>
              <w:pageBreakBefore/>
              <w:widowControl w:val="false"/>
              <w:tabs>
                <w:tab w:val="clear" w:pos="708"/>
                <w:tab w:val="left" w:pos="49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7ª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REUNIÃO ORDINÁRIA DA CPUA-CAU/PR 2022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751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97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Conselheiros</w:t>
            </w:r>
          </w:p>
        </w:tc>
        <w:tc>
          <w:tcPr>
            <w:tcW w:w="3804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969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5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95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Walter Gustavo Linzmeyer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Antônio Ricardo Nunes Sardo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Vandinês Gremaschi Canassa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75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418" w:hRule="atLeast"/>
        </w:trPr>
        <w:tc>
          <w:tcPr>
            <w:tcW w:w="97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Histórico da votação: 7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ª REUNIÃO ORDINÁRIA CPUA-CAU/PR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Data: 29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/08/2022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Matéria em votação: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Resultado da votação: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Sim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Não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Abstenções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Ausências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(1)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do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Total de 5 (Cinco) Conselheiros.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Ocorrências: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Assistente Técnica: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Caori Nakano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| Condução dos Trabalhos (Coord):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/>
      </w:r>
    </w:p>
    <w:sectPr>
      <w:headerReference w:type="default" r:id="rId3"/>
      <w:footerReference w:type="even" r:id="rId4"/>
      <w:footerReference w:type="default" r:id="rId5"/>
      <w:footerReference w:type="first" r:id="rId6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imesNewRomanPSMT">
    <w:charset w:val="01"/>
    <w:family w:val="swiss"/>
    <w:pitch w:val="default"/>
  </w:font>
  <w:font w:name="DaxCondensed-Regular">
    <w:charset w:val="01"/>
    <w:family w:val="swiss"/>
    <w:pitch w:val="default"/>
  </w:font>
  <w:font w:name="DaxCondense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b/>
        <w:b/>
        <w:sz w:val="18"/>
        <w:szCs w:val="18"/>
      </w:rPr>
    </w:pPr>
    <w:r>
      <w:rPr>
        <w:rFonts w:eastAsia="Calibri" w:cs="Calibri" w:ascii="Calibri" w:hAnsi="Calibri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2" w:before="0" w:after="0"/>
      <w:ind w:left="10" w:right="10" w:hanging="10"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6" wp14:anchorId="6B35744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9265" cy="147320"/>
              <wp:effectExtent l="0" t="0" r="0" b="0"/>
              <wp:wrapNone/>
              <wp:docPr id="4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72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85pt;height:11.5pt;mso-wrap-style:square;v-text-anchor:middle" wp14:anchorId="6B3574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Calibri" w:hAnsi="Calibri"/>
        <w:color w:val="A6A6A6"/>
        <w:sz w:val="18"/>
        <w:szCs w:val="18"/>
      </w:rPr>
      <w:t>Sede Casa Mário de Mari • Av. Nossa Senhora da Luz, 2.530 • 80045-360 • Curitiba/PR • +55(41)3218.0200</w:t>
    </w:r>
  </w:p>
  <w:p>
    <w:pPr>
      <w:pStyle w:val="Normal"/>
      <w:spacing w:before="0" w:after="0"/>
      <w:ind w:left="11" w:right="6" w:hanging="1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07/2022 da CPUA-CAU/PR, de 29  de agosto de 2022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b/>
        <w:b/>
        <w:sz w:val="18"/>
        <w:szCs w:val="18"/>
      </w:rPr>
    </w:pPr>
    <w:r>
      <w:rPr>
        <w:rFonts w:eastAsia="Calibri" w:cs="Calibri" w:ascii="Calibri" w:hAnsi="Calibri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2" w:before="0" w:after="0"/>
      <w:ind w:left="10" w:right="10" w:hanging="10"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6" wp14:anchorId="6B35744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9265" cy="147320"/>
              <wp:effectExtent l="0" t="0" r="0" b="0"/>
              <wp:wrapNone/>
              <wp:docPr id="6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72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85pt;height:11.5pt;mso-wrap-style:square;v-text-anchor:middle" wp14:anchorId="6B3574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Calibri" w:hAnsi="Calibri"/>
        <w:color w:val="A6A6A6"/>
        <w:sz w:val="18"/>
        <w:szCs w:val="18"/>
      </w:rPr>
      <w:t>Sede Casa Mário de Mari • Av. Nossa Senhora da Luz, 2.530 • 80045-360 • Curitiba/PR • +55(41)3218.0200</w:t>
    </w:r>
  </w:p>
  <w:p>
    <w:pPr>
      <w:pStyle w:val="Normal"/>
      <w:spacing w:before="0" w:after="0"/>
      <w:ind w:left="11" w:right="6" w:hanging="1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07/2022 da CPUA-CAU/PR, de 29  de agosto de 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0708519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407F82FD">
              <wp:simplePos x="0" y="0"/>
              <wp:positionH relativeFrom="page">
                <wp:posOffset>2978150</wp:posOffset>
              </wp:positionH>
              <wp:positionV relativeFrom="topMargin">
                <wp:posOffset>702310</wp:posOffset>
              </wp:positionV>
              <wp:extent cx="3359150" cy="192405"/>
              <wp:effectExtent l="0" t="0" r="0" b="0"/>
              <wp:wrapNone/>
              <wp:docPr id="2" name="Retângul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8440" cy="191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 xml:space="preserve"> </w:t>
                          </w: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PRCAU/PR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1" path="m0,0l-2147483645,0l-2147483645,-2147483646l0,-2147483646xe" stroked="f" o:allowincell="f" style="position:absolute;margin-left:234.5pt;margin-top:55.3pt;width:264.4pt;height:15.05pt;mso-wrap-style:square;v-text-anchor:middle;mso-position-horizontal-relative:page" wp14:anchorId="407F82F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Comissão de Política Urbana e Ambiental • CPUA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 xml:space="preserve"> </w:t>
                    </w: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PRCAU/PR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russels2022.isocarp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Application>LibreOffice/7.2.2.2$Windows_X86_64 LibreOffice_project/02b2acce88a210515b4a5bb2e46cbfb63fe97d56</Application>
  <AppVersion>15.0000</AppVersion>
  <Pages>3</Pages>
  <Words>652</Words>
  <Characters>3532</Characters>
  <CharactersWithSpaces>4129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2022-05-31T13:04:00Z</dcterms:created>
  <dc:creator>user</dc:creator>
  <dc:description/>
  <dc:language>pt-BR</dc:language>
  <cp:lastModifiedBy/>
  <dcterms:modified xsi:type="dcterms:W3CDTF">2022-08-29T14:44:24Z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