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489214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e no CREA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RATIO CONSTRUTORA E INCORPORADORA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o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 conselheir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o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 relator, no âmbito da CEP-CAU/PR,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considerando a defesa apresentada, 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no sentido de manter o Auto de Infração e multa no valor de 0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9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 xml:space="preserve"> anuidades vigentes, conforme estabelecido pela Deliberação da CEP-CAU/PR nº 43/</w:t>
      </w: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2018;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489214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/202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147164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2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>(</w:t>
            </w:r>
            <w:r>
              <w:rPr>
                <w:rFonts w:eastAsia="Cambria" w:cs="Times New Roman" w:ascii="Times New Roman" w:hAnsi="Times New Roman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79500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LibreOffice/7.2.1.2$Windows_X86_64 LibreOffice_project/87b77fad49947c1441b67c559c339af8f3517e22</Application>
  <AppVersion>15.0000</AppVersion>
  <Pages>2</Pages>
  <Words>503</Words>
  <Characters>2842</Characters>
  <CharactersWithSpaces>3299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2022-09-19T20:40:52Z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