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412078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GABRIELA BASTOS GALVÃO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Ricardo Luiz Leites de Oliveira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considerando a defesa apresentada, no sentido de manter o Auto de Infração e multa de 300% do valor vigente da taxa do RRT conforme estabelecido pela Resolução nº 22/2012, visto que não houve a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8"/>
        <w:gridCol w:w="1521"/>
        <w:gridCol w:w="683"/>
        <w:gridCol w:w="2679"/>
        <w:gridCol w:w="574"/>
        <w:gridCol w:w="379"/>
        <w:gridCol w:w="439"/>
        <w:gridCol w:w="514"/>
        <w:gridCol w:w="176"/>
        <w:gridCol w:w="784"/>
        <w:gridCol w:w="1107"/>
      </w:tblGrid>
      <w:tr>
        <w:trPr/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412078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/2021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138729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/2021.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1667106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LibreOffice/7.2.1.2$Windows_X86_64 LibreOffice_project/87b77fad49947c1441b67c559c339af8f3517e22</Application>
  <AppVersion>15.0000</AppVersion>
  <Pages>2</Pages>
  <Words>439</Words>
  <Characters>2491</Characters>
  <CharactersWithSpaces>2887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2022-10-18T15:40:35Z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