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550391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ETHEREUM SERVIÇOS ESPECIALIZADOS EIRELI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30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considerando a defesa apresentada, no sentido de manter o Auto de Infração e multa no valor mínimo conforme estabelecido pela Resolução nº 22/2012, visto que houve a regularização da infração de forma intempestiva;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9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155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0391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156260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97433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LibreOffice/7.2.1.2$Windows_X86_64 LibreOffice_project/87b77fad49947c1441b67c559c339af8f3517e22</Application>
  <AppVersion>15.0000</AppVersion>
  <Pages>2</Pages>
  <Words>505</Words>
  <Characters>2871</Characters>
  <CharactersWithSpaces>3330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2022-10-19T13:08:02Z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