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550895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Averiguação de possível infração ao Código de Ética e Disciplina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139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18º, inciso IX, que “</w:t>
      </w:r>
      <w:r>
        <w:rPr>
          <w:rFonts w:ascii="Times New Roman" w:hAnsi="Times New Roman"/>
          <w:bCs/>
          <w:color w:val="000000"/>
          <w:shd w:fill="FFFFFF" w:val="clear"/>
        </w:rPr>
        <w:t xml:space="preserve">Constituem infrações disciplinares, além de outras definidas pelo Código de Ética e Disciplina , </w:t>
      </w:r>
      <w:r>
        <w:rPr>
          <w:rFonts w:ascii="Times New Roman" w:hAnsi="Times New Roman"/>
          <w:bCs/>
          <w:i w:val="false"/>
          <w:iCs w:val="false"/>
          <w:color w:val="000000"/>
          <w:shd w:fill="FFFFFF" w:val="clear"/>
        </w:rPr>
        <w:t>deixar de observar as normas legais e técnicas pertinentes na execução de atividades de arquitetura e urbanismo</w:t>
      </w:r>
      <w:r>
        <w:rPr>
          <w:rFonts w:ascii="Times New Roman" w:hAnsi="Times New Roman"/>
          <w:i w:val="false"/>
          <w:iCs w:val="false"/>
        </w:rPr>
        <w:t xml:space="preserve"> ”;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240"/>
        <w:ind w:left="0" w:right="0" w:hanging="0"/>
        <w:contextualSpacing/>
        <w:jc w:val="both"/>
        <w:rPr>
          <w:rFonts w:ascii="Times New Roman" w:hAnsi="Times New Roman"/>
          <w:bCs/>
          <w:color w:val="000000"/>
          <w:shd w:fill="FFFFFF" w:val="clear"/>
        </w:rPr>
      </w:pPr>
      <w:r>
        <w:rPr>
          <w:rFonts w:ascii="Times New Roman" w:hAnsi="Times New Roman"/>
          <w:bCs/>
          <w:i w:val="false"/>
          <w:iCs w:val="false"/>
          <w:color w:val="000000"/>
          <w:shd w:fill="FFFFFF" w:val="clear"/>
        </w:rPr>
        <w:t xml:space="preserve">Considerando a Resolução nº 52/2013, que aprova o Código de Ética e Disciplina do Conselho de Arquitetura e Urbanismo do Brasil (CAU/BR); </w:t>
      </w:r>
    </w:p>
    <w:p>
      <w:pPr>
        <w:pStyle w:val="Normal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o disposto no artigo 12 da Resolução n° 143 do CAU/BR, e o encaminhamento do protocolo relativo ao processo de fiscalização n° 10001</w:t>
      </w:r>
      <w:r>
        <w:rPr>
          <w:rFonts w:cs="Times New Roman" w:ascii="Times New Roman" w:hAnsi="Times New Roman"/>
          <w:szCs w:val="24"/>
        </w:rPr>
        <w:t>52301</w:t>
      </w:r>
      <w:r>
        <w:rPr>
          <w:rFonts w:cs="Times New Roman" w:ascii="Times New Roman" w:hAnsi="Times New Roman"/>
          <w:szCs w:val="24"/>
        </w:rPr>
        <w:t>/2022, no qual estão relatadas possíveis infrações ao Código de Ética e Disciplina e/ou ao Artigo 18 da Lei Federal 12.378/2010.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Relatório e Voto Fundamentado  da conselheira relatora, no âmbito da CEP-CAU/PR, no sentido de solicitar a GEFIS-PR que encaminhe o processo a CED-CAU/PR para a verificação de possível infração ao Código de Ética e Disciplina;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setembro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550895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/2022 –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kern w:val="0"/>
                <w:sz w:val="22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kern w:val="0"/>
                <w:sz w:val="22"/>
                <w:szCs w:val="24"/>
                <w:lang w:val="pt-BR" w:eastAsia="en-US" w:bidi="ar-SA"/>
              </w:rPr>
              <w:t>Processo de Fiscalização 1000152301/2022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945141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LibreOffice/7.2.1.2$Windows_X86_64 LibreOffice_project/87b77fad49947c1441b67c559c339af8f3517e22</Application>
  <AppVersion>15.0000</AppVersion>
  <Pages>2</Pages>
  <Words>547</Words>
  <Characters>3065</Characters>
  <CharactersWithSpaces>3566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2022-10-19T19:15:05Z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