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394,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Equipe Técnica </w:t>
      </w:r>
      <w:r>
        <w:rPr>
          <w:rFonts w:eastAsia="Calibri" w:ascii="Times New Roman" w:hAnsi="Times New Roman"/>
          <w:sz w:val="24"/>
          <w:szCs w:val="24"/>
        </w:rPr>
        <w:t>do Edital de Chamamento Público nº 003/2022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003/2022 sob </w:t>
      </w:r>
      <w:r>
        <w:rPr>
          <w:rFonts w:cs="Times New Roman" w:ascii="Times New Roman" w:hAnsi="Times New Roman"/>
          <w:color w:val="auto"/>
          <w:sz w:val="24"/>
          <w:szCs w:val="24"/>
        </w:rPr>
        <w:t>a regência das Leis Federais 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14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003/2021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 Técnica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Equipe Técnica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no instrumento convocatório no </w:t>
      </w:r>
      <w:r>
        <w:rPr>
          <w:rFonts w:ascii="Times New Roman" w:hAnsi="Times New Roman"/>
          <w:sz w:val="24"/>
          <w:szCs w:val="24"/>
        </w:rPr>
        <w:t>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Andressa Santana Rossa, arquiteta e urbanista;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Pierre Albert Bonnevialle, contador 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Cleverson 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Veiga, Coordenador (a) de Planejamento e Orçamento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arquiteta e urbanista Andressa Santana Rossa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Equipe Técnica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394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82" y="0"/>
              <wp:lineTo x="1669" y="835"/>
              <wp:lineTo x="1359" y="6907"/>
              <wp:lineTo x="1461" y="13005"/>
              <wp:lineTo x="-38" y="13878"/>
              <wp:lineTo x="-38" y="15599"/>
              <wp:lineTo x="2069" y="19950"/>
              <wp:lineTo x="2984" y="19950"/>
              <wp:lineTo x="21489" y="15599"/>
              <wp:lineTo x="21489" y="13878"/>
              <wp:lineTo x="10738" y="13005"/>
              <wp:lineTo x="21367" y="10411"/>
              <wp:lineTo x="21289" y="2581"/>
              <wp:lineTo x="2880" y="0"/>
              <wp:lineTo x="218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LibreOffice/7.1.3.2$Windows_X86_64 LibreOffice_project/47f78053abe362b9384784d31a6e56f8511eb1c1</Application>
  <AppVersion>15.0000</AppVersion>
  <Pages>2</Pages>
  <Words>352</Words>
  <Characters>1820</Characters>
  <CharactersWithSpaces>2165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2022-11-17T09:45:52Z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