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395,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de Monitoramento </w:t>
      </w:r>
      <w:r>
        <w:rPr>
          <w:rFonts w:eastAsia="Calibri" w:ascii="Times New Roman" w:hAnsi="Times New Roman"/>
          <w:sz w:val="24"/>
          <w:szCs w:val="24"/>
        </w:rPr>
        <w:t>do Edital de Chamamento Público nº 003/2022 deste Conselho 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003/2022 sob </w:t>
      </w:r>
      <w:r>
        <w:rPr>
          <w:rFonts w:cs="Times New Roman" w:ascii="Times New Roman" w:hAnsi="Times New Roman"/>
          <w:color w:val="auto"/>
          <w:sz w:val="24"/>
          <w:szCs w:val="24"/>
        </w:rPr>
        <w:t>a regência das Leis Federais  n° 13.019/2014, 12.378/2010, Decreto nº 8.726/2016 e Deliberação Plenária CAU/PR n° 0099-08/2019, de 27 de agosto de 2019,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2.1.11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003/2021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 de Monitoramento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Comissão de Monitoramento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item 14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.1,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Rene José Rodrigues Junior</w:t>
      </w:r>
      <w:r>
        <w:rPr>
          <w:rFonts w:ascii="Times New Roman" w:hAnsi="Times New Roman"/>
          <w:sz w:val="24"/>
          <w:szCs w:val="24"/>
        </w:rPr>
        <w:t>, conselheiro do CAU/PR;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Jo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ão Eduardo Dressler Carvalho,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Gerente Cont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ábil, Financeiro e de Planejamento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do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Emeline Trentini Barcala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, Supervisora de Fiscalização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sz w:val="24"/>
          <w:szCs w:val="24"/>
          <w:lang w:bidi="ar-SA"/>
        </w:rPr>
        <w:t>D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>,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 xml:space="preserve"> como coordenador desta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>, o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arquiteto e urbanista </w:t>
      </w:r>
      <w:r>
        <w:rPr>
          <w:rStyle w:val="Markedcontent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Rene José Rodrigues Junior</w:t>
      </w:r>
      <w:r>
        <w:rPr>
          <w:rStyle w:val="Markedcontent"/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Art. 4º. </w:t>
      </w:r>
      <w:r>
        <w:rPr>
          <w:rStyle w:val="Markedcontent"/>
          <w:rFonts w:eastAsia="Calibri" w:cs="Times New Roman" w:ascii="Times New Roman" w:hAnsi="Times New Roman"/>
          <w:color w:val="auto"/>
          <w:kern w:val="2"/>
          <w:sz w:val="24"/>
          <w:szCs w:val="24"/>
          <w:lang w:val="pt-BR" w:eastAsia="zh-CN"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Comissão de Monitoramento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395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16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82" y="0"/>
              <wp:lineTo x="1669" y="835"/>
              <wp:lineTo x="1359" y="6907"/>
              <wp:lineTo x="1461" y="13005"/>
              <wp:lineTo x="-38" y="13878"/>
              <wp:lineTo x="-38" y="15599"/>
              <wp:lineTo x="2069" y="19950"/>
              <wp:lineTo x="2984" y="19950"/>
              <wp:lineTo x="21489" y="15599"/>
              <wp:lineTo x="21489" y="13878"/>
              <wp:lineTo x="10738" y="13005"/>
              <wp:lineTo x="21367" y="10411"/>
              <wp:lineTo x="21289" y="2581"/>
              <wp:lineTo x="2880" y="0"/>
              <wp:lineTo x="218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Application>LibreOffice/7.1.3.2$Windows_X86_64 LibreOffice_project/47f78053abe362b9384784d31a6e56f8511eb1c1</Application>
  <AppVersion>15.0000</AppVersion>
  <Pages>2</Pages>
  <Words>360</Words>
  <Characters>1895</Characters>
  <CharactersWithSpaces>2248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2022-11-17T09:46:23Z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