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PORTARIA N° 39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8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Avaliação </w:t>
      </w:r>
      <w:r>
        <w:rPr>
          <w:rFonts w:eastAsia="Calibri" w:ascii="Times New Roman" w:hAnsi="Times New Roman"/>
          <w:sz w:val="24"/>
          <w:szCs w:val="24"/>
        </w:rPr>
        <w:t xml:space="preserve">do </w:t>
      </w:r>
      <w:r>
        <w:rPr>
          <w:rFonts w:eastAsia="Calibri" w:ascii="Times New Roman" w:hAnsi="Times New Roman"/>
          <w:b w:val="false"/>
          <w:bCs w:val="false"/>
          <w:color w:val="000000"/>
          <w:sz w:val="24"/>
          <w:szCs w:val="24"/>
        </w:rPr>
        <w:t>edital de chamamento nº 007/2022 – CAU/PR S</w:t>
      </w:r>
      <w:r>
        <w:rPr>
          <w:rFonts w:ascii="Times New Roman" w:hAnsi="Times New Roman"/>
          <w:b w:val="false"/>
          <w:bCs w:val="false"/>
          <w:sz w:val="24"/>
          <w:szCs w:val="24"/>
        </w:rPr>
        <w:t>eleção, Cadastramento e Credenciamento de Docentes para Cursos de F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ormação Continuada para Arquitetos e Urbanistas –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Mídias Sociais para Arquitetos e Urbanistas</w:t>
      </w: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</w:rPr>
        <w:t xml:space="preserve">, </w:t>
      </w:r>
      <w:r>
        <w:rPr>
          <w:rFonts w:eastAsia="Calibri" w:ascii="Times New Roman" w:hAnsi="Times New Roman"/>
          <w:sz w:val="24"/>
          <w:szCs w:val="24"/>
        </w:rPr>
        <w:t>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007/2022, </w:t>
      </w:r>
      <w:r>
        <w:rPr>
          <w:rFonts w:ascii="Times New Roman" w:hAnsi="Times New Roman"/>
          <w:color w:val="auto"/>
          <w:sz w:val="24"/>
          <w:szCs w:val="24"/>
        </w:rPr>
        <w:t xml:space="preserve">sob a regência da </w:t>
      </w:r>
      <w:r>
        <w:rPr>
          <w:rFonts w:ascii="Times New Roman" w:hAnsi="Times New Roman"/>
          <w:color w:val="000000"/>
          <w:sz w:val="24"/>
          <w:szCs w:val="24"/>
        </w:rPr>
        <w:t xml:space="preserve">Deliberação N° 029/2022 CPFI-CAU/PR, de </w:t>
      </w:r>
      <w:r>
        <w:rPr>
          <w:rFonts w:eastAsia="Arial" w:cs="Arial" w:ascii="Times New Roman" w:hAnsi="Times New Roman"/>
          <w:color w:val="000000"/>
          <w:kern w:val="0"/>
          <w:sz w:val="24"/>
          <w:szCs w:val="24"/>
          <w:lang w:val="pt-BR" w:eastAsia="pt-BR" w:bidi="ar-SA"/>
        </w:rPr>
        <w:t>26/09/2022</w:t>
      </w:r>
      <w:r>
        <w:rPr>
          <w:rFonts w:ascii="Times New Roman" w:hAnsi="Times New Roman"/>
          <w:color w:val="auto"/>
          <w:sz w:val="24"/>
          <w:szCs w:val="24"/>
        </w:rPr>
        <w:t>, e demais norm</w:t>
      </w:r>
      <w:r>
        <w:rPr>
          <w:rFonts w:ascii="Times New Roman" w:hAnsi="Times New Roman"/>
          <w:sz w:val="24"/>
          <w:szCs w:val="24"/>
        </w:rPr>
        <w:t xml:space="preserve">as vigentes pertinentes à matéria, com a finalidade de selecionar e credenciar </w:t>
      </w:r>
      <w:r>
        <w:rPr>
          <w:rFonts w:ascii="Times New Roman" w:hAnsi="Times New Roman"/>
          <w:color w:val="auto"/>
          <w:sz w:val="24"/>
          <w:szCs w:val="24"/>
        </w:rPr>
        <w:t>docentes para Cursos de Formação Continuada para Arquitetos e Urbanistas</w:t>
      </w:r>
      <w:r>
        <w:rPr>
          <w:rFonts w:cs="Times New Roman" w:ascii="Times New Roman" w:hAnsi="Times New Roman"/>
          <w:color w:val="auto"/>
          <w:sz w:val="24"/>
          <w:szCs w:val="24"/>
        </w:rPr>
        <w:t>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artigo 19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007/2021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Seleção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artigo 19,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André Luiz Sell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Vandin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ês Gremaschi Canassa, conselheira do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 xml:space="preserve">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onselheiro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Corpodotexto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Alessandro Boncompagni Junior, supervisor de Plenária e Orgãos Colegiados do CAU/PR.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Claudio Luiz Bravim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25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398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25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72" y="0"/>
              <wp:lineTo x="1660" y="786"/>
              <wp:lineTo x="1350" y="6858"/>
              <wp:lineTo x="1453" y="12956"/>
              <wp:lineTo x="-38" y="13829"/>
              <wp:lineTo x="-38" y="15550"/>
              <wp:lineTo x="2060" y="19901"/>
              <wp:lineTo x="2974" y="19901"/>
              <wp:lineTo x="21480" y="15550"/>
              <wp:lineTo x="21480" y="13829"/>
              <wp:lineTo x="10728" y="12956"/>
              <wp:lineTo x="21358" y="10362"/>
              <wp:lineTo x="21282" y="2531"/>
              <wp:lineTo x="2871" y="0"/>
              <wp:lineTo x="217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Application>LibreOffice/7.1.3.2$Windows_X86_64 LibreOffice_project/47f78053abe362b9384784d31a6e56f8511eb1c1</Application>
  <AppVersion>15.0000</AppVersion>
  <Pages>2</Pages>
  <Words>340</Words>
  <Characters>1794</Characters>
  <CharactersWithSpaces>2126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2022-11-25T15:08:59Z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