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F256AD" w:rsidRPr="002034E7" w14:paraId="26ABF02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0DF90E72" w14:textId="0763AC67" w:rsidR="00F256AD" w:rsidRPr="002034E7" w:rsidRDefault="0000000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</w:rPr>
            </w:pPr>
            <w:r w:rsidRPr="002034E7">
              <w:rPr>
                <w:rFonts w:ascii="Times New Roman" w:hAnsi="Times New Roman"/>
                <w:b/>
                <w:smallCaps/>
                <w:kern w:val="2"/>
              </w:rPr>
              <w:t>SÚMULA DA 9ª REUNIÃO ORDINÁRIA 2022 CPUA-CAU/PR</w:t>
            </w:r>
          </w:p>
        </w:tc>
      </w:tr>
    </w:tbl>
    <w:p w14:paraId="2D27C4C2" w14:textId="77777777" w:rsidR="00F256AD" w:rsidRPr="002034E7" w:rsidRDefault="00F256AD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2"/>
        <w:gridCol w:w="3371"/>
        <w:gridCol w:w="976"/>
        <w:gridCol w:w="2882"/>
      </w:tblGrid>
      <w:tr w:rsidR="00F256AD" w:rsidRPr="002034E7" w14:paraId="28CDB00A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9B404BD" w14:textId="77777777" w:rsidR="00F256AD" w:rsidRPr="002034E7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2034E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6C4B1" w14:textId="77777777" w:rsidR="00F256AD" w:rsidRPr="002034E7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24 de outubro de 2022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C5481B4" w14:textId="77777777" w:rsidR="00F256AD" w:rsidRPr="002034E7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2034E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0DA90" w14:textId="09D09590" w:rsidR="00F256AD" w:rsidRPr="002034E7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Das 10h às 12h</w:t>
            </w:r>
            <w:r w:rsidR="00FC1F81">
              <w:rPr>
                <w:rFonts w:ascii="Times New Roman" w:hAnsi="Times New Roman"/>
                <w:spacing w:val="4"/>
                <w:sz w:val="20"/>
                <w:szCs w:val="20"/>
              </w:rPr>
              <w:t>06min</w:t>
            </w:r>
          </w:p>
        </w:tc>
      </w:tr>
      <w:tr w:rsidR="00F256AD" w:rsidRPr="002034E7" w14:paraId="56A73F6C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5E72E6B" w14:textId="77777777" w:rsidR="00F256AD" w:rsidRPr="002034E7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2034E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CC751" w14:textId="3A14F9A4" w:rsidR="00F256AD" w:rsidRPr="002034E7" w:rsidRDefault="0000000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Híbrida</w:t>
            </w:r>
            <w:r w:rsidR="005E04BD">
              <w:rPr>
                <w:rFonts w:ascii="Times New Roman" w:hAnsi="Times New Roman"/>
                <w:sz w:val="20"/>
                <w:szCs w:val="20"/>
              </w:rPr>
              <w:t xml:space="preserve">; virtual via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plataforma </w:t>
            </w:r>
            <w:r w:rsidR="005E04BD" w:rsidRPr="005E04BD">
              <w:rPr>
                <w:rFonts w:ascii="Times New Roman" w:hAnsi="Times New Roman"/>
                <w:i/>
                <w:iCs/>
                <w:sz w:val="20"/>
                <w:szCs w:val="20"/>
              </w:rPr>
              <w:t>Microsoft</w:t>
            </w:r>
            <w:r w:rsidR="005E0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4E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Teams</w:t>
            </w:r>
            <w:r w:rsidR="005E04BD" w:rsidRPr="005E04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e</w:t>
            </w:r>
            <w:r w:rsidR="005E04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presencial </w:t>
            </w:r>
            <w:r w:rsidRPr="005E04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em LONDRINA</w:t>
            </w:r>
            <w:r w:rsidR="005E04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</w:tbl>
    <w:p w14:paraId="72C5CD00" w14:textId="77777777" w:rsidR="00F256AD" w:rsidRPr="002034E7" w:rsidRDefault="00F256AD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3407"/>
        <w:gridCol w:w="3823"/>
      </w:tblGrid>
      <w:tr w:rsidR="00F256AD" w:rsidRPr="002034E7" w14:paraId="7002CBF2" w14:textId="77777777" w:rsidTr="00F16C9E">
        <w:trPr>
          <w:trHeight w:hRule="exact" w:val="283"/>
          <w:jc w:val="center"/>
        </w:trPr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95664AC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0F512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6A489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F256AD" w:rsidRPr="002034E7" w14:paraId="5C49A9AD" w14:textId="77777777" w:rsidTr="00F16C9E">
        <w:trPr>
          <w:trHeight w:hRule="exact" w:val="283"/>
          <w:jc w:val="center"/>
        </w:trPr>
        <w:tc>
          <w:tcPr>
            <w:tcW w:w="18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56FB40" w14:textId="77777777" w:rsidR="00F256AD" w:rsidRPr="002034E7" w:rsidRDefault="00F256AD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F1954D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976A6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Coordenador adjunto</w:t>
            </w:r>
          </w:p>
        </w:tc>
      </w:tr>
      <w:tr w:rsidR="00F256AD" w:rsidRPr="002034E7" w14:paraId="36119474" w14:textId="77777777" w:rsidTr="00F16C9E">
        <w:trPr>
          <w:trHeight w:hRule="exact" w:val="283"/>
          <w:jc w:val="center"/>
        </w:trPr>
        <w:tc>
          <w:tcPr>
            <w:tcW w:w="18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0FF36EE" w14:textId="77777777" w:rsidR="00F256AD" w:rsidRPr="002034E7" w:rsidRDefault="00F256AD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EAFD36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0D5A9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F256AD" w:rsidRPr="002034E7" w14:paraId="00896550" w14:textId="77777777" w:rsidTr="00F16C9E">
        <w:trPr>
          <w:trHeight w:hRule="exact" w:val="283"/>
          <w:jc w:val="center"/>
        </w:trPr>
        <w:tc>
          <w:tcPr>
            <w:tcW w:w="18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B78FABC" w14:textId="77777777" w:rsidR="00F256AD" w:rsidRPr="002034E7" w:rsidRDefault="00F256AD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37DAE8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D5E39A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F256AD" w:rsidRPr="002034E7" w14:paraId="37121FB0" w14:textId="77777777" w:rsidTr="00F16C9E">
        <w:trPr>
          <w:trHeight w:hRule="exact" w:val="283"/>
          <w:jc w:val="center"/>
        </w:trPr>
        <w:tc>
          <w:tcPr>
            <w:tcW w:w="1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635A195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284BD07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Caori Nakano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547E9A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Assistente da CPUA-CAU/PR</w:t>
            </w:r>
          </w:p>
          <w:p w14:paraId="2989913E" w14:textId="77777777" w:rsidR="00F256AD" w:rsidRPr="002034E7" w:rsidRDefault="00F256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D95D350" w14:textId="77777777" w:rsidR="00F256AD" w:rsidRPr="002034E7" w:rsidRDefault="00F256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7D86B19" w14:textId="77777777" w:rsidR="00F256AD" w:rsidRPr="002034E7" w:rsidRDefault="00F256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6491590C" w14:textId="77777777" w:rsidR="00F256AD" w:rsidRPr="002034E7" w:rsidRDefault="00F256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F16C9E" w:rsidRPr="002034E7" w14:paraId="2AFC8E58" w14:textId="77777777" w:rsidTr="00A05D3E">
        <w:trPr>
          <w:trHeight w:hRule="exact" w:val="801"/>
          <w:jc w:val="center"/>
        </w:trPr>
        <w:tc>
          <w:tcPr>
            <w:tcW w:w="18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D568638" w14:textId="09DB8977" w:rsidR="00F16C9E" w:rsidRPr="002034E7" w:rsidRDefault="00F16C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Convidad</w:t>
            </w:r>
            <w:r w:rsidR="00A05D3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A76FA33" w14:textId="77777777" w:rsidR="00F16C9E" w:rsidRPr="00F16C9E" w:rsidRDefault="00F16C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16C9E"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  <w:t xml:space="preserve">Jeanne </w:t>
            </w:r>
            <w:proofErr w:type="spellStart"/>
            <w:r w:rsidRPr="00F16C9E"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  <w:t>Versari</w:t>
            </w:r>
            <w:proofErr w:type="spellEnd"/>
          </w:p>
        </w:tc>
        <w:tc>
          <w:tcPr>
            <w:tcW w:w="38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67DFAC" w14:textId="4923083C" w:rsidR="00A05D3E" w:rsidRPr="00F16C9E" w:rsidRDefault="00A05D3E" w:rsidP="00A05D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Coordenadora do GT do Núcleo Maringá do IAB/PR, vencedores do Edital do CAU/BR sobre ATHIS</w:t>
            </w:r>
          </w:p>
        </w:tc>
      </w:tr>
    </w:tbl>
    <w:p w14:paraId="7A407B23" w14:textId="77777777" w:rsidR="00F256AD" w:rsidRPr="002034E7" w:rsidRDefault="00F256AD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7152"/>
      </w:tblGrid>
      <w:tr w:rsidR="00F256AD" w:rsidRPr="002034E7" w14:paraId="02A2200D" w14:textId="77777777">
        <w:trPr>
          <w:jc w:val="center"/>
        </w:trPr>
        <w:tc>
          <w:tcPr>
            <w:tcW w:w="90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6C0EF1E" w14:textId="6C5B8C26" w:rsidR="00F256AD" w:rsidRPr="002034E7" w:rsidRDefault="000000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 Súmula</w:t>
            </w:r>
          </w:p>
        </w:tc>
      </w:tr>
      <w:tr w:rsidR="00F256AD" w:rsidRPr="002034E7" w14:paraId="7BC9F5A9" w14:textId="77777777">
        <w:trPr>
          <w:jc w:val="center"/>
        </w:trPr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0B45782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8DE654" w14:textId="0F1C901C" w:rsidR="00F256AD" w:rsidRPr="002034E7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833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DE249BC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F256AD" w:rsidRPr="002034E7" w14:paraId="7A48B398" w14:textId="77777777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D337628" w14:textId="77777777" w:rsidR="00F256AD" w:rsidRPr="002034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Comunicações</w:t>
            </w:r>
          </w:p>
        </w:tc>
      </w:tr>
      <w:tr w:rsidR="00F256AD" w:rsidRPr="002034E7" w14:paraId="525B4BD3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21ED0F8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439297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F256AD" w:rsidRPr="002034E7" w14:paraId="6641B562" w14:textId="77777777" w:rsidTr="00833A01">
        <w:trPr>
          <w:trHeight w:val="954"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B14AA0" w14:textId="7B0692DF" w:rsidR="00F256AD" w:rsidRPr="002034E7" w:rsidRDefault="00000000" w:rsidP="00833A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14:paraId="63DFDC88" w14:textId="77777777" w:rsidR="00833A01" w:rsidRDefault="00000000" w:rsidP="00833A01">
            <w:pPr>
              <w:keepLines/>
              <w:suppressAutoHyphens w:val="0"/>
              <w:jc w:val="both"/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O conselheiro ORMY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,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cedeu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,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2034E7">
              <w:rPr>
                <w:rFonts w:ascii="Times New Roman" w:eastAsia="Calibri" w:hAnsi="Times New Roman"/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  <w:t>por motivos acadêmicos</w:t>
            </w:r>
            <w:r w:rsidR="00833A01">
              <w:rPr>
                <w:rFonts w:ascii="Times New Roman" w:eastAsia="Calibri" w:hAnsi="Times New Roman"/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  <w:t>,</w:t>
            </w:r>
            <w:r w:rsidRPr="002034E7">
              <w:rPr>
                <w:rFonts w:ascii="Times New Roman" w:eastAsia="Calibri" w:hAnsi="Times New Roman"/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a coordenação da reunião ao</w:t>
            </w:r>
            <w:r w:rsidRPr="002034E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Coordenador adjunto 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Linzmeyer, comunicou que iria participar por um breve período 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(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entrou 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à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s 10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h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45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min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e ficou até o final</w:t>
            </w:r>
            <w:r w:rsidR="00833A01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da reunião)</w:t>
            </w: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.</w:t>
            </w:r>
          </w:p>
          <w:p w14:paraId="64889179" w14:textId="6D013F22" w:rsidR="00F256AD" w:rsidRPr="002034E7" w:rsidRDefault="00000000" w:rsidP="00833A01">
            <w:pPr>
              <w:keepLines/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Por motivo de agenda da </w:t>
            </w:r>
            <w:proofErr w:type="spellStart"/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CPFi</w:t>
            </w:r>
            <w:proofErr w:type="spellEnd"/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o conselheiro SARDO justificou sua ausência.</w:t>
            </w:r>
          </w:p>
        </w:tc>
      </w:tr>
    </w:tbl>
    <w:p w14:paraId="01D8560F" w14:textId="77777777" w:rsidR="00F256AD" w:rsidRPr="002034E7" w:rsidRDefault="00F256AD" w:rsidP="00735DCF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636A2EAD" w14:textId="77777777" w:rsidR="00F256AD" w:rsidRPr="00735DCF" w:rsidRDefault="00000000">
      <w:pPr>
        <w:shd w:val="clear" w:color="auto" w:fill="BFBFBF" w:themeFill="background1" w:themeFillShade="BF"/>
        <w:jc w:val="center"/>
        <w:rPr>
          <w:rFonts w:ascii="Times New Roman" w:hAnsi="Times New Roman"/>
          <w:sz w:val="20"/>
          <w:szCs w:val="20"/>
        </w:rPr>
      </w:pPr>
      <w:r w:rsidRPr="00735DCF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7B8D89A6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735DCF" w:rsidRPr="002034E7" w14:paraId="47731A5E" w14:textId="77777777" w:rsidTr="00735DCF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FE69E3C" w14:textId="77777777" w:rsidR="00735DCF" w:rsidRPr="002034E7" w:rsidRDefault="00735DCF" w:rsidP="00735D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516A98" w14:textId="735EA018" w:rsidR="00735DCF" w:rsidRPr="00735DCF" w:rsidRDefault="00735DCF" w:rsidP="00735DCF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35D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Relato do Núcleo MARINGÁ sobre ATHIS</w:t>
            </w:r>
          </w:p>
        </w:tc>
      </w:tr>
      <w:tr w:rsidR="00735DCF" w:rsidRPr="002034E7" w14:paraId="49994B5F" w14:textId="77777777" w:rsidTr="00735DC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C75720" w14:textId="77777777" w:rsidR="00735DCF" w:rsidRPr="002034E7" w:rsidRDefault="00735DCF" w:rsidP="00735D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662B55" w14:textId="1030A12C" w:rsidR="00735DCF" w:rsidRPr="00735DCF" w:rsidRDefault="00735DCF" w:rsidP="00735DCF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5D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CPUA-CAU/PR</w:t>
            </w:r>
          </w:p>
        </w:tc>
      </w:tr>
      <w:tr w:rsidR="00735DCF" w:rsidRPr="002034E7" w14:paraId="5273B3DA" w14:textId="77777777" w:rsidTr="00735DC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999538F" w14:textId="77777777" w:rsidR="00735DCF" w:rsidRPr="002034E7" w:rsidRDefault="00735DCF" w:rsidP="00735D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27584E" w14:textId="040D40F5" w:rsidR="00735DCF" w:rsidRPr="00735DCF" w:rsidRDefault="00735DCF" w:rsidP="00735DC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  <w:t xml:space="preserve">Arq. Urb. </w:t>
            </w:r>
            <w:r w:rsidRPr="00735DCF"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  <w:t xml:space="preserve">Jeanne </w:t>
            </w:r>
            <w:proofErr w:type="spellStart"/>
            <w:r w:rsidRPr="00735DCF"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  <w:t>Versari</w:t>
            </w:r>
            <w:proofErr w:type="spellEnd"/>
          </w:p>
        </w:tc>
      </w:tr>
      <w:tr w:rsidR="00735DCF" w:rsidRPr="002034E7" w14:paraId="597A8560" w14:textId="77777777" w:rsidTr="00735DC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C7946D" w14:textId="77777777" w:rsidR="00735DCF" w:rsidRPr="002034E7" w:rsidRDefault="00735DCF" w:rsidP="00735D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95F874" w14:textId="31D635C1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A convidada JEANNE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apresentou os trabalhos feitos em ATHIS do IAB em Maringá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que será um modelo para o resto do Brasil, fruto de um edital do CAU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BR de 2021, o nome do projeto é “</w:t>
            </w:r>
            <w:r w:rsidR="002E057F"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Oficinas </w:t>
            </w:r>
            <w:r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para </w:t>
            </w:r>
            <w:r w:rsidR="002E057F"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Construção </w:t>
            </w:r>
            <w:r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e </w:t>
            </w:r>
            <w:r w:rsidR="002E057F"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Capacitação </w:t>
            </w:r>
            <w:r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de um </w:t>
            </w:r>
            <w:r w:rsidR="002E057F"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Instrumento </w:t>
            </w:r>
            <w:r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de </w:t>
            </w:r>
            <w:r w:rsidR="002E057F" w:rsidRPr="002E05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Diagnostico Habitacional Municipal </w:t>
            </w:r>
            <w:r w:rsidRPr="002E057F">
              <w:rPr>
                <w:rFonts w:ascii="Times New Roman" w:hAnsi="Times New Roman"/>
                <w:sz w:val="20"/>
                <w:szCs w:val="20"/>
                <w:u w:val="single"/>
              </w:rPr>
              <w:t>a partir dos Agentes Comunitários de Saúde: conhecer a realidade local para aplicar recursos públicos em ATHIS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”</w:t>
            </w:r>
            <w:r w:rsidR="002E057F">
              <w:rPr>
                <w:rFonts w:ascii="Times New Roman" w:hAnsi="Times New Roman"/>
                <w:sz w:val="20"/>
                <w:szCs w:val="20"/>
              </w:rPr>
              <w:t>. O projeto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surge de um </w:t>
            </w:r>
            <w:r w:rsidR="002E057F">
              <w:rPr>
                <w:rFonts w:ascii="Times New Roman" w:hAnsi="Times New Roman"/>
                <w:sz w:val="20"/>
                <w:szCs w:val="20"/>
              </w:rPr>
              <w:t>c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enário pós pandemia, onde foi constatada a relação de saúde e habitação, com o objetivo de encontrar uma aproximação da </w:t>
            </w:r>
            <w:r w:rsidR="002E057F" w:rsidRPr="002034E7">
              <w:rPr>
                <w:rFonts w:ascii="Times New Roman" w:hAnsi="Times New Roman"/>
                <w:sz w:val="20"/>
                <w:szCs w:val="20"/>
              </w:rPr>
              <w:t>Assistência Técnica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, da </w:t>
            </w:r>
            <w:r w:rsidR="002E057F" w:rsidRPr="002034E7">
              <w:rPr>
                <w:rFonts w:ascii="Times New Roman" w:hAnsi="Times New Roman"/>
                <w:sz w:val="20"/>
                <w:szCs w:val="20"/>
              </w:rPr>
              <w:t xml:space="preserve">Habitação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2E057F" w:rsidRPr="002034E7">
              <w:rPr>
                <w:rFonts w:ascii="Times New Roman" w:hAnsi="Times New Roman"/>
                <w:sz w:val="20"/>
                <w:szCs w:val="20"/>
              </w:rPr>
              <w:t xml:space="preserve">Interesse Social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e da estratégia da </w:t>
            </w:r>
            <w:r w:rsidR="002E057F" w:rsidRPr="002034E7">
              <w:rPr>
                <w:rFonts w:ascii="Times New Roman" w:hAnsi="Times New Roman"/>
                <w:sz w:val="20"/>
                <w:szCs w:val="20"/>
              </w:rPr>
              <w:t xml:space="preserve">Saúde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2E057F" w:rsidRPr="002034E7">
              <w:rPr>
                <w:rFonts w:ascii="Times New Roman" w:hAnsi="Times New Roman"/>
                <w:sz w:val="20"/>
                <w:szCs w:val="20"/>
              </w:rPr>
              <w:t>Família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. É uma forma de captar dados para conhecer a realidade habitacional para que isso seja subsídios para políticas públicas, que engloba a criação de um questionário e a criação uma metodologia e a forma de ser operacionalizado.</w:t>
            </w:r>
          </w:p>
          <w:p w14:paraId="7E6978B1" w14:textId="63B48943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A realização e o apoio institucional a equipe de produção estão a cargo: do IAB</w:t>
            </w:r>
            <w:r w:rsidR="001629B6">
              <w:rPr>
                <w:rFonts w:ascii="Times New Roman" w:hAnsi="Times New Roman"/>
                <w:sz w:val="20"/>
                <w:szCs w:val="20"/>
              </w:rPr>
              <w:t xml:space="preserve">/PR, núcleo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Maringá e da Fundação João Pinheiro.</w:t>
            </w:r>
          </w:p>
          <w:p w14:paraId="2F481690" w14:textId="6E4D6039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A parceira institucional local: Prefeitura Municipal de Maringá (por meio da Secretaria de Saúde e Secretaria urbanismo e Habitação), IPPLAM, UEM</w:t>
            </w:r>
            <w:r w:rsidR="00E34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(por meio do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Observatório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das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Cidades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e o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Departamento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Arquitetura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Urbanismo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B965A51" w14:textId="0B0165C3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O conselheiro GUSTAVO, solicitou</w:t>
            </w:r>
            <w:r w:rsidR="00E34F9C">
              <w:rPr>
                <w:rFonts w:ascii="Times New Roman" w:hAnsi="Times New Roman"/>
                <w:sz w:val="20"/>
                <w:szCs w:val="20"/>
              </w:rPr>
              <w:t>, se possível,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o material da apresentação</w:t>
            </w:r>
            <w:r w:rsidR="00E34F9C">
              <w:rPr>
                <w:rFonts w:ascii="Times New Roman" w:hAnsi="Times New Roman"/>
                <w:sz w:val="20"/>
                <w:szCs w:val="20"/>
              </w:rPr>
              <w:t>, para que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fosse distribuído entre os conselheiros e futuramente ser apresentado em uma </w:t>
            </w:r>
            <w:proofErr w:type="spellStart"/>
            <w:r w:rsidRPr="00E34F9C">
              <w:rPr>
                <w:rFonts w:ascii="Times New Roman" w:hAnsi="Times New Roman"/>
                <w:i/>
                <w:iCs/>
                <w:sz w:val="20"/>
                <w:szCs w:val="20"/>
              </w:rPr>
              <w:t>live</w:t>
            </w:r>
            <w:proofErr w:type="spellEnd"/>
            <w:r w:rsidRPr="002034E7">
              <w:rPr>
                <w:rFonts w:ascii="Times New Roman" w:hAnsi="Times New Roman"/>
                <w:sz w:val="20"/>
                <w:szCs w:val="20"/>
              </w:rPr>
              <w:t xml:space="preserve"> ou em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Plenária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.</w:t>
            </w:r>
            <w:r w:rsidR="00E34F9C">
              <w:rPr>
                <w:rFonts w:ascii="Times New Roman" w:hAnsi="Times New Roman"/>
                <w:sz w:val="20"/>
                <w:szCs w:val="20"/>
              </w:rPr>
              <w:t xml:space="preserve"> A convidada JEANNE, agradeceu e acordou em encaminhar o material.</w:t>
            </w:r>
          </w:p>
          <w:p w14:paraId="5213C49E" w14:textId="0E1410C5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A conselheira VANDINÊS, não pode deixar de mencionar o profissionalismo que teve na Cidade, a colaboração de cada um com a sua atribuição, a CPUA-CAU</w:t>
            </w:r>
            <w:r w:rsidR="00E34F9C">
              <w:rPr>
                <w:rFonts w:ascii="Times New Roman" w:hAnsi="Times New Roman"/>
                <w:sz w:val="20"/>
                <w:szCs w:val="20"/>
              </w:rPr>
              <w:t>/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PR está apoiando e acompanhando de perto, inclusive nas ações futuras de escritório de ATHIS e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Banco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Materiais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6AD084" w14:textId="4553CF90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Conselheiro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 xml:space="preserve">ORMY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vê grandes desdobramentos nesse trabalho, pois tudo está muito relacionado 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Saúde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-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Habitação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-</w:t>
            </w:r>
            <w:r w:rsidR="00E34F9C" w:rsidRPr="002034E7">
              <w:rPr>
                <w:rFonts w:ascii="Times New Roman" w:hAnsi="Times New Roman"/>
                <w:sz w:val="20"/>
                <w:szCs w:val="20"/>
              </w:rPr>
              <w:t>Economia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CE401B" w14:textId="2F81FFDC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 xml:space="preserve">O Conselheiro MAUGHAM acha importante que </w:t>
            </w:r>
            <w:r w:rsidR="003B1D9D">
              <w:rPr>
                <w:rFonts w:ascii="Times New Roman" w:hAnsi="Times New Roman"/>
                <w:sz w:val="20"/>
                <w:szCs w:val="20"/>
              </w:rPr>
              <w:t>n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os novos editais ficassem bem registrado qual é o objetivo, a função, o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>benefício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que isto vai trazer aos arquitetos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e urbanistas,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em si, pois p</w:t>
            </w:r>
            <w:r w:rsidR="003B1D9D">
              <w:rPr>
                <w:rFonts w:ascii="Times New Roman" w:hAnsi="Times New Roman"/>
                <w:sz w:val="20"/>
                <w:szCs w:val="20"/>
              </w:rPr>
              <w:t>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ra comunidade em geral está bem claro, pois a maioria dos editais sobre ATHIS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está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focada nas problemáticas que est</w:t>
            </w:r>
            <w:r w:rsidR="003B1D9D">
              <w:rPr>
                <w:rFonts w:ascii="Times New Roman" w:hAnsi="Times New Roman"/>
                <w:sz w:val="20"/>
                <w:szCs w:val="20"/>
              </w:rPr>
              <w:t>ão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sendo atendidas, mas relativa aos arquitetos sua parte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>está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sem muita conexão, pois são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 os profissionais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que estão participando naquele momento</w:t>
            </w:r>
            <w:r w:rsidR="003B1D9D">
              <w:rPr>
                <w:rFonts w:ascii="Times New Roman" w:hAnsi="Times New Roman"/>
                <w:sz w:val="20"/>
                <w:szCs w:val="20"/>
              </w:rPr>
              <w:t>, os que mais ganham com a ação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, mas não demostra o que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tais esforços impactam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na comunidade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de arquitetura e urbanismo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como um todo. Demonstrando grande preocupação com a falta de regulação fundiária antes ação efetiva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 de melhorias da ATHIS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7E11B8" w14:textId="25953772" w:rsidR="00735DCF" w:rsidRPr="002034E7" w:rsidRDefault="00735DCF" w:rsidP="00735D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 xml:space="preserve">Segundo a JEANNE o objetivo é incentivar a popularização do arquiteto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e urbanista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em novos campos de trabalho, promovidas com essa aproximação com a saúde. Complementando a conselheira VANDINÊS quer captar recursos federais para os profissionais que querem trabalhar nessa área, pois pela falta de projeto estes recursos voltam para a União ou tem outra destinação.</w:t>
            </w:r>
          </w:p>
        </w:tc>
      </w:tr>
    </w:tbl>
    <w:p w14:paraId="4C5BA34B" w14:textId="77777777" w:rsidR="00F256AD" w:rsidRPr="002034E7" w:rsidRDefault="00000000">
      <w:pPr>
        <w:rPr>
          <w:rFonts w:ascii="Times New Roman" w:hAnsi="Times New Roman"/>
          <w:sz w:val="20"/>
          <w:szCs w:val="20"/>
        </w:rPr>
      </w:pPr>
      <w:r w:rsidRPr="002034E7">
        <w:rPr>
          <w:rFonts w:ascii="Times New Roman" w:hAnsi="Times New Roman"/>
          <w:sz w:val="20"/>
          <w:szCs w:val="20"/>
        </w:rPr>
        <w:lastRenderedPageBreak/>
        <w:t xml:space="preserve"> </w:t>
      </w:r>
    </w:p>
    <w:tbl>
      <w:tblPr>
        <w:tblStyle w:val="Tabelacomgrade"/>
        <w:tblW w:w="901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176"/>
      </w:tblGrid>
      <w:tr w:rsidR="00F256AD" w:rsidRPr="002034E7" w14:paraId="725D32A5" w14:textId="77777777" w:rsidTr="003B1D9D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9451E7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170D12" w14:textId="07167E18" w:rsidR="00F256AD" w:rsidRPr="003B1D9D" w:rsidRDefault="003B1D9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B1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Informações para o Plano de Ação e Orçamento do CAU/PR 2023</w:t>
            </w:r>
          </w:p>
        </w:tc>
      </w:tr>
      <w:tr w:rsidR="00F256AD" w:rsidRPr="002034E7" w14:paraId="72A00BE0" w14:textId="77777777" w:rsidTr="003B1D9D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C6CCC3D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17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E43A5E" w14:textId="7F944F00" w:rsidR="00F256AD" w:rsidRPr="003B1D9D" w:rsidRDefault="003B1D9D">
            <w:pPr>
              <w:pStyle w:val="Corpodetexto"/>
              <w:keepLines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CPUA-</w:t>
            </w:r>
            <w:r w:rsidR="00000000" w:rsidRPr="003B1D9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CAU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</w:t>
            </w:r>
            <w:r w:rsidR="00000000" w:rsidRPr="003B1D9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</w:t>
            </w:r>
          </w:p>
        </w:tc>
      </w:tr>
      <w:tr w:rsidR="00F256AD" w:rsidRPr="002034E7" w14:paraId="315141E4" w14:textId="77777777" w:rsidTr="003B1D9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648B83" w14:textId="6ADE0A16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490BA9" w14:textId="77777777" w:rsidR="00F256AD" w:rsidRPr="002034E7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</w:tr>
      <w:tr w:rsidR="00F256AD" w:rsidRPr="002034E7" w14:paraId="1393F8B7" w14:textId="77777777" w:rsidTr="003B1D9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5598619" w14:textId="604C5176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67A1E63" w14:textId="77777777" w:rsidR="00F256AD" w:rsidRPr="002034E7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O relator ORMY acha oportuno ter uma deliberação para garantir o orçamento do evento internacional para chegar numa estiva estimativa de custo.</w:t>
            </w:r>
          </w:p>
          <w:p w14:paraId="35EC835F" w14:textId="5D2EEA93" w:rsidR="00F256AD" w:rsidRPr="002034E7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O conselheiro GUSTAVO sugeriu organizar </w:t>
            </w:r>
            <w:r w:rsidR="003B1D9D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com </w:t>
            </w: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a agenda da CPUA </w:t>
            </w:r>
            <w:r w:rsidR="003B1D9D"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Nacional</w:t>
            </w:r>
            <w:r w:rsidR="003B1D9D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, colocando-o</w:t>
            </w:r>
            <w:r w:rsidR="003B1D9D"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</w:t>
            </w: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como um evento das </w:t>
            </w:r>
            <w:proofErr w:type="spellStart"/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CPUAs</w:t>
            </w:r>
            <w:proofErr w:type="spellEnd"/>
            <w:r w:rsidR="003B1D9D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em 2023</w:t>
            </w: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, </w:t>
            </w:r>
            <w:r w:rsidR="003B1D9D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uma vez que a CPUA-CAU/PR</w:t>
            </w:r>
            <w:r w:rsidRPr="002034E7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não teve eventos em 2021 e 2022.</w:t>
            </w:r>
          </w:p>
          <w:p w14:paraId="4D78B152" w14:textId="4526DCC7" w:rsidR="00F256AD" w:rsidRPr="002034E7" w:rsidRDefault="003B1D9D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A </w:t>
            </w:r>
            <w:r w:rsidR="00000000" w:rsidRPr="002034E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Comissão </w:t>
            </w:r>
            <w:r w:rsidR="00000000"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DELIBERA:</w:t>
            </w:r>
          </w:p>
          <w:p w14:paraId="2A378084" w14:textId="5535B511" w:rsidR="00F256AD" w:rsidRPr="002034E7" w:rsidRDefault="00000000" w:rsidP="003B1D9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76" w:lineRule="auto"/>
              <w:ind w:hanging="5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 xml:space="preserve">Solicitar ao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 xml:space="preserve">Plenário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e ao Conselho Diretor a aprovação de reserva orçamentaria para que o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 xml:space="preserve">Evento Internacional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seja realizado no mês da Semana do Meio Ambiente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 de 2023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, e se possível junto a agenda da CPUA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>Nacional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, em Foz de Iguaçu;</w:t>
            </w:r>
          </w:p>
          <w:p w14:paraId="2E4A06BF" w14:textId="6E809DE2" w:rsidR="00F256AD" w:rsidRPr="002034E7" w:rsidRDefault="00000000" w:rsidP="003B1D9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76" w:lineRule="auto"/>
              <w:ind w:hanging="5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 xml:space="preserve">Previsão de orçamento para a realização de </w:t>
            </w:r>
            <w:r w:rsidR="003B1D9D" w:rsidRPr="002034E7">
              <w:rPr>
                <w:rFonts w:ascii="Times New Roman" w:hAnsi="Times New Roman"/>
                <w:sz w:val="20"/>
                <w:szCs w:val="20"/>
              </w:rPr>
              <w:t>Reunião Extraordinária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F1891A" w14:textId="613125B0" w:rsidR="00F256AD" w:rsidRPr="002034E7" w:rsidRDefault="003B1D9D" w:rsidP="003B1D9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76" w:lineRule="auto"/>
              <w:ind w:hanging="5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Elaborar u</w:t>
            </w:r>
            <w:r w:rsidR="00000000" w:rsidRPr="002034E7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Carta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 a síntese do evento, </w:t>
            </w:r>
            <w:r w:rsidR="00000000" w:rsidRPr="002034E7">
              <w:rPr>
                <w:rFonts w:ascii="Times New Roman" w:hAnsi="Times New Roman"/>
                <w:sz w:val="20"/>
                <w:szCs w:val="20"/>
              </w:rPr>
              <w:t>a ser encaminhada como contribuição a Copenhagen junto ao evento da UIA;</w:t>
            </w:r>
          </w:p>
          <w:p w14:paraId="1525A1BC" w14:textId="7E87FD4C" w:rsidR="00F256AD" w:rsidRPr="002034E7" w:rsidRDefault="00000000" w:rsidP="003B1D9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167"/>
              </w:tabs>
              <w:spacing w:line="276" w:lineRule="auto"/>
              <w:ind w:hanging="5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Encaminhar para </w:t>
            </w:r>
            <w:r w:rsidR="003B1D9D" w:rsidRPr="002034E7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Presidência </w:t>
            </w:r>
            <w:r w:rsidRPr="002034E7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para apreciação e encaminhamentos.</w:t>
            </w:r>
          </w:p>
          <w:p w14:paraId="0C82DE39" w14:textId="08559EE6" w:rsidR="00F256AD" w:rsidRPr="003B1D9D" w:rsidRDefault="00000000" w:rsidP="003B1D9D">
            <w:pPr>
              <w:keepLines/>
              <w:suppressAutoHyphens w:val="0"/>
              <w:spacing w:before="240" w:after="240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1D9D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Deliberação </w:t>
            </w:r>
            <w:r w:rsidR="003B1D9D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3B1D9D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º 11/2022 CPUA-CAU/PR</w:t>
            </w:r>
            <w:r w:rsidR="003B1D9D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aprovada por unanimidade.</w:t>
            </w:r>
          </w:p>
        </w:tc>
      </w:tr>
    </w:tbl>
    <w:p w14:paraId="2EB94D50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F256AD" w:rsidRPr="002034E7" w14:paraId="3A67052D" w14:textId="77777777" w:rsidTr="003B1D9D">
        <w:trPr>
          <w:trHeight w:val="235"/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5D7BED2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C04014" w14:textId="7D62D98A" w:rsidR="00F256AD" w:rsidRPr="003B1D9D" w:rsidRDefault="003B1D9D">
            <w:pP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3B1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Planos Diretores Municipais</w:t>
            </w:r>
          </w:p>
        </w:tc>
      </w:tr>
      <w:tr w:rsidR="00F256AD" w:rsidRPr="002034E7" w14:paraId="0DC37B32" w14:textId="77777777" w:rsidTr="003B1D9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D3E54E2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4B2B27" w14:textId="54408834" w:rsidR="00F256AD" w:rsidRPr="003B1D9D" w:rsidRDefault="00000000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 w:rsid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F256AD" w:rsidRPr="002034E7" w14:paraId="2330AE37" w14:textId="77777777" w:rsidTr="003B1D9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F3847B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22E3EEB" w14:textId="4AB62382" w:rsidR="00F256AD" w:rsidRPr="002034E7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F256AD" w:rsidRPr="002034E7" w14:paraId="1A488DE8" w14:textId="77777777" w:rsidTr="003B1D9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D983C97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14:paraId="745920B4" w14:textId="28429611" w:rsidR="00F256AD" w:rsidRPr="002034E7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 xml:space="preserve">O relator GUSTAVO </w:t>
            </w:r>
            <w:r w:rsidR="003B1D9D">
              <w:rPr>
                <w:rFonts w:ascii="Times New Roman" w:hAnsi="Times New Roman"/>
                <w:sz w:val="20"/>
                <w:szCs w:val="20"/>
              </w:rPr>
              <w:t>propõe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participar do evento em novembro no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Rio Grande do Sul</w:t>
            </w:r>
            <w:r w:rsidR="003B1D9D">
              <w:rPr>
                <w:rFonts w:ascii="Times New Roman" w:hAnsi="Times New Roman"/>
                <w:sz w:val="20"/>
                <w:szCs w:val="20"/>
              </w:rPr>
              <w:t xml:space="preserve">, 1º Trienal do CAU/RS, cujo um dos temas principais será os </w:t>
            </w:r>
            <w:proofErr w:type="spellStart"/>
            <w:r w:rsidR="003B1D9D">
              <w:rPr>
                <w:rFonts w:ascii="Times New Roman" w:hAnsi="Times New Roman"/>
                <w:sz w:val="20"/>
                <w:szCs w:val="20"/>
              </w:rPr>
              <w:t>PDMs</w:t>
            </w:r>
            <w:proofErr w:type="spellEnd"/>
            <w:r w:rsidR="003B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>e</w:t>
            </w:r>
            <w:r w:rsidR="00B36D0D">
              <w:rPr>
                <w:rFonts w:ascii="Times New Roman" w:hAnsi="Times New Roman"/>
                <w:sz w:val="20"/>
                <w:szCs w:val="20"/>
              </w:rPr>
              <w:t xml:space="preserve"> em seguida</w:t>
            </w:r>
            <w:r w:rsidRPr="002034E7">
              <w:rPr>
                <w:rFonts w:ascii="Times New Roman" w:hAnsi="Times New Roman"/>
                <w:sz w:val="20"/>
                <w:szCs w:val="20"/>
              </w:rPr>
              <w:t xml:space="preserve"> avançar </w:t>
            </w:r>
            <w:r w:rsidR="00B36D0D">
              <w:rPr>
                <w:rFonts w:ascii="Times New Roman" w:hAnsi="Times New Roman"/>
                <w:sz w:val="20"/>
                <w:szCs w:val="20"/>
              </w:rPr>
              <w:t>aqui no Paraná.</w:t>
            </w:r>
          </w:p>
        </w:tc>
      </w:tr>
    </w:tbl>
    <w:p w14:paraId="6C78C223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F256AD" w:rsidRPr="002034E7" w14:paraId="03B4AE40" w14:textId="77777777" w:rsidTr="00934896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FBCB624" w14:textId="77777777" w:rsidR="00F256AD" w:rsidRPr="00934896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89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A485FB" w14:textId="51A1BD33" w:rsidR="00F256AD" w:rsidRPr="00934896" w:rsidRDefault="00934896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348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Carta aos </w:t>
            </w:r>
            <w:r w:rsidRPr="009348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Candidatos</w:t>
            </w:r>
          </w:p>
        </w:tc>
      </w:tr>
      <w:tr w:rsidR="00F256AD" w:rsidRPr="002034E7" w14:paraId="5B600DF7" w14:textId="77777777" w:rsidTr="00934896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8D8C57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24DBD32" w14:textId="18BA645E" w:rsidR="00F256AD" w:rsidRPr="002034E7" w:rsidRDefault="00934896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F256AD" w:rsidRPr="002034E7" w14:paraId="178ECC11" w14:textId="77777777" w:rsidTr="00934896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6E125B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C2D5BE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Walter Gustavo Linzmeyer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256AD" w:rsidRPr="002034E7" w14:paraId="0CEB986A" w14:textId="77777777" w:rsidTr="00934896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376D2F" w14:textId="77777777" w:rsidR="00F256AD" w:rsidRPr="002034E7" w:rsidRDefault="0000000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648914" w14:textId="610D2657" w:rsidR="00F256AD" w:rsidRPr="002034E7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O Relator GUSTAVO </w:t>
            </w:r>
            <w:r w:rsidR="00934896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informa que a principal intenção sobre a publicação e divulgação da </w:t>
            </w:r>
            <w:r w:rsidR="00934896"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Carta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aos </w:t>
            </w:r>
            <w:r w:rsidR="00934896"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Candidatos</w:t>
            </w:r>
            <w:r w:rsidR="00934896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foi cumprida pelo CAU/PR e CEAU-CAU/PR, e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propõe acatar a sugestão do conselheiro MAUGHAM </w:t>
            </w:r>
            <w:r w:rsidR="00934896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em elaborar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e enviar agora a </w:t>
            </w:r>
            <w:r w:rsidR="00934896"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Carta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aos </w:t>
            </w:r>
            <w:r w:rsidR="00934896"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Eleitos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.</w:t>
            </w:r>
          </w:p>
        </w:tc>
      </w:tr>
    </w:tbl>
    <w:p w14:paraId="4542CD4F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BA25E3" w:rsidRPr="002034E7" w14:paraId="5A6D4FB2" w14:textId="77777777" w:rsidTr="00BA25E3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CB2F62" w14:textId="77777777" w:rsidR="00BA25E3" w:rsidRPr="002034E7" w:rsidRDefault="00BA25E3" w:rsidP="00BA25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E59AB8" w14:textId="650CA4E2" w:rsidR="00BA25E3" w:rsidRPr="00BA25E3" w:rsidRDefault="00BA25E3" w:rsidP="00BA25E3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A25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Acompanhamento Parlamentar</w:t>
            </w:r>
          </w:p>
        </w:tc>
      </w:tr>
      <w:tr w:rsidR="00BA25E3" w:rsidRPr="002034E7" w14:paraId="36E72477" w14:textId="77777777" w:rsidTr="00BA25E3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974B1D" w14:textId="77777777" w:rsidR="00BA25E3" w:rsidRPr="002034E7" w:rsidRDefault="00BA25E3" w:rsidP="00BA25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295D24" w14:textId="7AFEEB88" w:rsidR="00BA25E3" w:rsidRPr="002034E7" w:rsidRDefault="00BA25E3" w:rsidP="00BA25E3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3B1D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BA25E3" w:rsidRPr="002034E7" w14:paraId="4DCAB90B" w14:textId="77777777" w:rsidTr="00BA25E3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61DA24" w14:textId="77777777" w:rsidR="00BA25E3" w:rsidRPr="002034E7" w:rsidRDefault="00BA25E3" w:rsidP="00BA25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FA70EB" w14:textId="77777777" w:rsidR="00BA25E3" w:rsidRPr="002034E7" w:rsidRDefault="00BA25E3" w:rsidP="00BA25E3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Maugham Zaze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A25E3" w:rsidRPr="002034E7" w14:paraId="22190B8E" w14:textId="77777777" w:rsidTr="00BA25E3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29B462" w14:textId="77777777" w:rsidR="00BA25E3" w:rsidRPr="002034E7" w:rsidRDefault="00BA25E3" w:rsidP="00BA25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4615C3" w14:textId="77777777" w:rsidR="00BA25E3" w:rsidRDefault="00BA25E3" w:rsidP="00BA25E3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O relator MAUGHAM 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ainda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não obteve retorno com relação aos Ofícios da ALEP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.</w:t>
            </w:r>
          </w:p>
          <w:p w14:paraId="5BFA0830" w14:textId="4DE664BC" w:rsidR="00BA25E3" w:rsidRPr="002034E7" w:rsidRDefault="00BA25E3" w:rsidP="00BA25E3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O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conselheiro GUSTAVO sugere oficiar o Gabinete com relação ao andamento dos Ofícios solicitados na Deliberação 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#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9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/2022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CPUA-CAU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/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PR e 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solicitar informe sobre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o que retorno dos Ofícios 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ao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Relator.</w:t>
            </w:r>
          </w:p>
        </w:tc>
      </w:tr>
    </w:tbl>
    <w:p w14:paraId="18851038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p w14:paraId="43CBFF6D" w14:textId="77777777" w:rsidR="00F256AD" w:rsidRPr="00BA25E3" w:rsidRDefault="00000000">
      <w:pPr>
        <w:shd w:val="clear" w:color="auto" w:fill="BFBFBF" w:themeFill="background1" w:themeFillShade="BF"/>
        <w:jc w:val="center"/>
        <w:rPr>
          <w:rFonts w:ascii="Times New Roman" w:hAnsi="Times New Roman"/>
          <w:sz w:val="20"/>
          <w:szCs w:val="20"/>
        </w:rPr>
      </w:pPr>
      <w:r w:rsidRPr="00BA25E3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EXTRA PAUTA</w:t>
      </w:r>
    </w:p>
    <w:p w14:paraId="0412C33B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F256AD" w:rsidRPr="002034E7" w14:paraId="33BF3EA1" w14:textId="77777777" w:rsidTr="00BA25E3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ED85E9C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DB27F02" w14:textId="4C20A533" w:rsidR="00F256AD" w:rsidRPr="002034E7" w:rsidRDefault="00BA25E3" w:rsidP="00BA25E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5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Alteração na dinâmica da reunião plenária processos administrativos das comissões permanentes aprimoramento do CEAU</w:t>
            </w:r>
          </w:p>
        </w:tc>
      </w:tr>
      <w:tr w:rsidR="00F256AD" w:rsidRPr="002034E7" w14:paraId="576035D4" w14:textId="77777777" w:rsidTr="00BA25E3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D2643B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45BF8B0" w14:textId="1B6E6135" w:rsidR="00F256AD" w:rsidRPr="00BA25E3" w:rsidRDefault="00000000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25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COA-CAU</w:t>
            </w:r>
            <w:r w:rsidR="00BA25E3" w:rsidRPr="00BA25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BA25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F256AD" w:rsidRPr="002034E7" w14:paraId="2E7247FD" w14:textId="77777777" w:rsidTr="00BA25E3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D3BB11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BC576A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Walter Gustavo Linzmeyer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256AD" w:rsidRPr="002034E7" w14:paraId="18E53EC6" w14:textId="77777777" w:rsidTr="00BA25E3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1407D83" w14:textId="77777777" w:rsidR="00F256AD" w:rsidRPr="002034E7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14:paraId="521C0B2A" w14:textId="35699A33" w:rsidR="00F256AD" w:rsidRPr="002034E7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O Relator GUSTAVO solicita que todos os conselheiros recebam as </w:t>
            </w:r>
            <w:r w:rsidR="00BA25E3"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Pautas </w:t>
            </w:r>
            <w:r w:rsidR="00BA25E3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e Demandas da COA-CAU/BR encaminhada aos </w:t>
            </w:r>
            <w:proofErr w:type="spellStart"/>
            <w:r w:rsidR="00BA25E3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UFs</w:t>
            </w:r>
            <w:proofErr w:type="spellEnd"/>
            <w:r w:rsidR="00BA25E3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, </w:t>
            </w:r>
            <w:r w:rsidRPr="002034E7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para que até o dia 30 deste mês enviem sugestões e contribuições</w:t>
            </w:r>
            <w:r w:rsidR="00BA25E3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à COA-CAU/PR para sistematização e contribuições ao BR.</w:t>
            </w:r>
          </w:p>
        </w:tc>
      </w:tr>
    </w:tbl>
    <w:p w14:paraId="2DA5F6B7" w14:textId="77777777" w:rsidR="00F256AD" w:rsidRPr="002034E7" w:rsidRDefault="00F256AD">
      <w:pPr>
        <w:rPr>
          <w:rFonts w:ascii="Times New Roman" w:hAnsi="Times New Roman"/>
          <w:sz w:val="20"/>
          <w:szCs w:val="20"/>
        </w:rPr>
      </w:pPr>
    </w:p>
    <w:p w14:paraId="52F69A94" w14:textId="77777777" w:rsidR="00F256AD" w:rsidRPr="002034E7" w:rsidRDefault="00000000">
      <w:pPr>
        <w:jc w:val="center"/>
        <w:rPr>
          <w:rFonts w:ascii="Times New Roman" w:hAnsi="Times New Roman"/>
          <w:sz w:val="20"/>
          <w:szCs w:val="20"/>
        </w:rPr>
      </w:pPr>
      <w:r w:rsidRPr="002034E7">
        <w:rPr>
          <w:rFonts w:ascii="Times New Roman" w:hAnsi="Times New Roman"/>
          <w:sz w:val="20"/>
          <w:szCs w:val="20"/>
        </w:rPr>
        <w:t>Curitiba (PR), 24 de outubro 2022.</w:t>
      </w:r>
    </w:p>
    <w:p w14:paraId="65229A46" w14:textId="77777777" w:rsidR="00F256AD" w:rsidRPr="002034E7" w:rsidRDefault="00F256AD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7B856AFC" w14:textId="77777777" w:rsidR="00F256AD" w:rsidRPr="002034E7" w:rsidRDefault="00F256AD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4866338B" w14:textId="77777777" w:rsidR="00F256AD" w:rsidRPr="002034E7" w:rsidRDefault="00F256AD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13D427DA" w14:textId="77777777" w:rsidR="00F256AD" w:rsidRPr="002034E7" w:rsidRDefault="00F256AD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4D098D31" w14:textId="77777777" w:rsidR="00F256AD" w:rsidRPr="002034E7" w:rsidRDefault="00F256AD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F256AD" w:rsidRPr="002034E7" w14:paraId="3D6B7A37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7715" w14:textId="2F4D5E9C" w:rsidR="00F256AD" w:rsidRPr="002034E7" w:rsidRDefault="00F256AD">
            <w:pPr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</w:p>
          <w:p w14:paraId="2F3711C9" w14:textId="77777777" w:rsidR="00F256AD" w:rsidRPr="002034E7" w:rsidRDefault="00000000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Coordenador adjunto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057D" w14:textId="77777777" w:rsidR="00F256AD" w:rsidRPr="002034E7" w:rsidRDefault="0000000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hAnsi="Times New Roman"/>
                <w:b/>
                <w:bCs/>
                <w:sz w:val="20"/>
                <w:szCs w:val="20"/>
              </w:rPr>
              <w:t>CAORI NAKANO</w:t>
            </w:r>
          </w:p>
          <w:p w14:paraId="3E898977" w14:textId="77777777" w:rsidR="00F256AD" w:rsidRPr="002034E7" w:rsidRDefault="00000000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z w:val="20"/>
                <w:szCs w:val="20"/>
              </w:rPr>
              <w:t>Assistente da CPUA-CAU/PR</w:t>
            </w:r>
          </w:p>
        </w:tc>
      </w:tr>
    </w:tbl>
    <w:p w14:paraId="60745057" w14:textId="77777777" w:rsidR="00BA25E3" w:rsidRDefault="00BA25E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DCA1334" w14:textId="77777777" w:rsidR="00F256AD" w:rsidRPr="002034E7" w:rsidRDefault="00F256AD">
      <w:pPr>
        <w:jc w:val="center"/>
        <w:rPr>
          <w:rFonts w:ascii="Times New Roman" w:hAnsi="Times New Roman"/>
          <w:sz w:val="20"/>
          <w:szCs w:val="20"/>
        </w:rPr>
      </w:pPr>
    </w:p>
    <w:p w14:paraId="0E918F2B" w14:textId="77777777" w:rsidR="00F256AD" w:rsidRPr="00BA25E3" w:rsidRDefault="00000000">
      <w:pPr>
        <w:jc w:val="center"/>
        <w:rPr>
          <w:rFonts w:ascii="Times New Roman" w:hAnsi="Times New Roman"/>
        </w:rPr>
      </w:pPr>
      <w:r w:rsidRPr="00BA25E3">
        <w:rPr>
          <w:rFonts w:ascii="Times New Roman" w:eastAsia="Calibri" w:hAnsi="Times New Roman"/>
          <w:b/>
          <w:bCs/>
        </w:rPr>
        <w:t>9 REUNIÃO ORDINÁRIA 2022 DA CPUA-CAU/PR</w:t>
      </w:r>
    </w:p>
    <w:p w14:paraId="012E3074" w14:textId="77777777" w:rsidR="00F256AD" w:rsidRPr="002034E7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0"/>
          <w:szCs w:val="20"/>
        </w:rPr>
      </w:pPr>
      <w:r w:rsidRPr="002034E7">
        <w:rPr>
          <w:rFonts w:ascii="Times New Roman" w:eastAsia="Calibri" w:hAnsi="Times New Roman"/>
          <w:sz w:val="20"/>
          <w:szCs w:val="20"/>
        </w:rPr>
        <w:t>Videoconferência</w:t>
      </w:r>
    </w:p>
    <w:p w14:paraId="640595B9" w14:textId="693B0174" w:rsidR="00F256AD" w:rsidRPr="002034E7" w:rsidRDefault="00000000" w:rsidP="00BA25E3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0"/>
          <w:szCs w:val="20"/>
        </w:rPr>
      </w:pPr>
      <w:r w:rsidRPr="002034E7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8"/>
        <w:gridCol w:w="3741"/>
        <w:gridCol w:w="694"/>
        <w:gridCol w:w="891"/>
        <w:gridCol w:w="888"/>
        <w:gridCol w:w="879"/>
      </w:tblGrid>
      <w:tr w:rsidR="00F256AD" w:rsidRPr="002034E7" w14:paraId="4D83204C" w14:textId="77777777" w:rsidTr="00BA25E3">
        <w:tc>
          <w:tcPr>
            <w:tcW w:w="1976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4DD444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5D515E2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AB56F7E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F256AD" w:rsidRPr="002034E7" w14:paraId="4D263D23" w14:textId="77777777" w:rsidTr="00BA25E3">
        <w:tc>
          <w:tcPr>
            <w:tcW w:w="1976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A7AD030" w14:textId="77777777" w:rsidR="00F256AD" w:rsidRPr="002034E7" w:rsidRDefault="00F256AD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4918D58" w14:textId="77777777" w:rsidR="00F256AD" w:rsidRPr="002034E7" w:rsidRDefault="00F256AD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2EE81C85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99AF2F6" w14:textId="77777777" w:rsidR="00F256AD" w:rsidRPr="002034E7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8677645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4312A07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256AD" w:rsidRPr="002034E7" w14:paraId="12CA276D" w14:textId="77777777" w:rsidTr="00BA25E3">
        <w:trPr>
          <w:trHeight w:val="28"/>
        </w:trPr>
        <w:tc>
          <w:tcPr>
            <w:tcW w:w="197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F044573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3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1E92F88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D15DAF" w14:textId="4E6FA353" w:rsidR="00F256AD" w:rsidRPr="002034E7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03BDFF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A9C94AF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00EE7D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256AD" w:rsidRPr="002034E7" w14:paraId="63A2AC1C" w14:textId="77777777" w:rsidTr="00BA25E3">
        <w:trPr>
          <w:trHeight w:val="2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7374B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12903" w14:textId="77777777" w:rsidR="00F256AD" w:rsidRPr="002034E7" w:rsidRDefault="00000000">
            <w:pPr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  <w:r w:rsidRPr="002034E7"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BF402B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D7091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40DF7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8ABC6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256AD" w:rsidRPr="002034E7" w14:paraId="69418666" w14:textId="77777777" w:rsidTr="00BA25E3">
        <w:trPr>
          <w:trHeight w:val="2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B19E90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CE5D6" w14:textId="77777777" w:rsidR="00F256AD" w:rsidRPr="002034E7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A0F65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D688F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41321B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C0ED3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256AD" w:rsidRPr="002034E7" w14:paraId="79ACE30C" w14:textId="77777777" w:rsidTr="00BA25E3">
        <w:trPr>
          <w:trHeight w:val="2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DD76A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DC79D" w14:textId="77777777" w:rsidR="00F256AD" w:rsidRPr="002034E7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2034E7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F9E2A" w14:textId="77777777" w:rsidR="00F256AD" w:rsidRPr="002034E7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379B8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312DC2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541DF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256AD" w:rsidRPr="002034E7" w14:paraId="4E39263D" w14:textId="77777777" w:rsidTr="00BA25E3">
        <w:trPr>
          <w:trHeight w:val="28"/>
        </w:trPr>
        <w:tc>
          <w:tcPr>
            <w:tcW w:w="1976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788F37CB" w14:textId="77777777" w:rsidR="00F256AD" w:rsidRPr="002034E7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295C7171" w14:textId="77777777" w:rsidR="00F256AD" w:rsidRPr="002034E7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034E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Antônio Ricardo Nunes Sardo</w:t>
            </w:r>
            <w:r w:rsidRPr="002034E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5A78B7EB" w14:textId="77777777" w:rsidR="00F256AD" w:rsidRPr="002034E7" w:rsidRDefault="00F256AD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434913A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FB45CA0" w14:textId="77777777" w:rsidR="00F256AD" w:rsidRPr="00BA25E3" w:rsidRDefault="00F256AD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555237F2" w14:textId="77777777" w:rsidR="00F256AD" w:rsidRPr="00BA25E3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A25E3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BA25E3" w:rsidRPr="002034E7" w14:paraId="235AEC87" w14:textId="77777777" w:rsidTr="00BA25E3">
        <w:trPr>
          <w:trHeight w:val="20"/>
        </w:trPr>
        <w:tc>
          <w:tcPr>
            <w:tcW w:w="9061" w:type="dxa"/>
            <w:gridSpan w:val="6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52DA68A" w14:textId="798235E6" w:rsidR="00BA25E3" w:rsidRPr="002034E7" w:rsidRDefault="00BA25E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F256AD" w:rsidRPr="002034E7" w14:paraId="749B926C" w14:textId="77777777" w:rsidTr="00BA25E3">
        <w:trPr>
          <w:trHeight w:val="567"/>
        </w:trPr>
        <w:tc>
          <w:tcPr>
            <w:tcW w:w="9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230BC33" w14:textId="29C02DD6" w:rsidR="00F256AD" w:rsidRPr="00BA25E3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BA25E3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9ª REUNIÃO ORDINÁRIA 2022 CPUA-CAU/PR</w:t>
            </w:r>
          </w:p>
          <w:p w14:paraId="52B0E377" w14:textId="77777777" w:rsidR="00F256AD" w:rsidRPr="002034E7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24/10/2022</w:t>
            </w:r>
          </w:p>
          <w:p w14:paraId="67133EA5" w14:textId="5E7BFBF1" w:rsidR="00F256AD" w:rsidRPr="002034E7" w:rsidRDefault="00000000">
            <w:pPr>
              <w:spacing w:before="240"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2034E7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r w:rsidRPr="002034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Plano de Ação e Orçamento do CAU/PR 2023</w:t>
            </w:r>
          </w:p>
          <w:p w14:paraId="685727CA" w14:textId="77777777" w:rsidR="00F256AD" w:rsidRPr="002034E7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29E6724" w14:textId="01802CD5" w:rsidR="00F256AD" w:rsidRPr="002034E7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="00BA25E3" w:rsidRPr="00BA25E3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 houve.</w:t>
            </w:r>
          </w:p>
          <w:p w14:paraId="41E7CC76" w14:textId="61BCBF71" w:rsidR="00F256AD" w:rsidRPr="002034E7" w:rsidRDefault="00000000">
            <w:pPr>
              <w:spacing w:before="240"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E7">
              <w:rPr>
                <w:rFonts w:ascii="Times New Roman" w:eastAsia="Cambria" w:hAnsi="Times New Roman"/>
                <w:sz w:val="20"/>
                <w:szCs w:val="20"/>
              </w:rPr>
              <w:t>Assistência</w:t>
            </w:r>
            <w:r w:rsidR="00BA25E3">
              <w:rPr>
                <w:rFonts w:ascii="Times New Roman" w:eastAsia="Cambria" w:hAnsi="Times New Roman"/>
                <w:sz w:val="20"/>
                <w:szCs w:val="20"/>
              </w:rPr>
              <w:t xml:space="preserve"> Técnica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: </w:t>
            </w:r>
            <w:r w:rsidRPr="002034E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Caori Nakano </w:t>
            </w:r>
            <w:r w:rsidR="00BA25E3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•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 Condução </w:t>
            </w:r>
            <w:r w:rsidR="00BA25E3">
              <w:rPr>
                <w:rFonts w:ascii="Times New Roman" w:eastAsia="Cambria" w:hAnsi="Times New Roman"/>
                <w:sz w:val="20"/>
                <w:szCs w:val="20"/>
              </w:rPr>
              <w:t xml:space="preserve">dos </w:t>
            </w:r>
            <w:r w:rsidRPr="002034E7">
              <w:rPr>
                <w:rFonts w:ascii="Times New Roman" w:eastAsia="Cambria" w:hAnsi="Times New Roman"/>
                <w:sz w:val="20"/>
                <w:szCs w:val="20"/>
              </w:rPr>
              <w:t xml:space="preserve">Trabalhos: </w:t>
            </w:r>
            <w:r w:rsidRPr="002034E7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</w:tbl>
    <w:p w14:paraId="105CB6FA" w14:textId="77777777" w:rsidR="00F256AD" w:rsidRPr="002034E7" w:rsidRDefault="00F256AD" w:rsidP="00BA25E3">
      <w:pPr>
        <w:rPr>
          <w:rFonts w:ascii="Times New Roman" w:hAnsi="Times New Roman"/>
          <w:sz w:val="20"/>
          <w:szCs w:val="20"/>
        </w:rPr>
      </w:pPr>
    </w:p>
    <w:sectPr w:rsidR="00F256AD" w:rsidRPr="002034E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9C6B" w14:textId="77777777" w:rsidR="00034A91" w:rsidRDefault="00034A91">
      <w:r>
        <w:separator/>
      </w:r>
    </w:p>
  </w:endnote>
  <w:endnote w:type="continuationSeparator" w:id="0">
    <w:p w14:paraId="0FBF9A14" w14:textId="77777777" w:rsidR="00034A91" w:rsidRDefault="000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F1B" w14:textId="77777777" w:rsidR="00F256AD" w:rsidRDefault="00F256A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62A7" w14:textId="5A7EFD98" w:rsidR="00F256AD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</w:t>
    </w:r>
    <w:r w:rsidR="00BA25E3">
      <w:rPr>
        <w:b/>
        <w:color w:val="006666"/>
        <w:sz w:val="18"/>
      </w:rPr>
      <w:t>.gov.br</w:t>
    </w:r>
  </w:p>
  <w:p w14:paraId="4D33AEA8" w14:textId="7A845CF1" w:rsidR="00F256AD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</w:t>
    </w:r>
  </w:p>
  <w:p w14:paraId="52C044F6" w14:textId="77777777" w:rsidR="00F256AD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9/2022 da CPUA-CAU/PR, de 24 outubro de 2022</w:t>
    </w:r>
  </w:p>
  <w:p w14:paraId="35227AB8" w14:textId="35474619" w:rsidR="00F256AD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3</w:t>
    </w:r>
    <w:r>
      <w:rPr>
        <w:b/>
        <w:color w:val="006666"/>
        <w:sz w:val="18"/>
      </w:rPr>
      <w:fldChar w:fldCharType="end"/>
    </w:r>
    <w:r w:rsidR="00BA25E3" w:rsidRPr="00BA25E3">
      <w:rPr>
        <w:b/>
        <w:color w:val="006666"/>
        <w:sz w:val="18"/>
        <w:vertAlign w:val="subscript"/>
      </w:rPr>
      <w:t>/</w:t>
    </w:r>
    <w:r w:rsidR="00BA25E3" w:rsidRPr="00BA25E3">
      <w:rPr>
        <w:b/>
        <w:color w:val="006666"/>
        <w:sz w:val="18"/>
        <w:vertAlign w:val="subscript"/>
      </w:rPr>
      <w:fldChar w:fldCharType="begin"/>
    </w:r>
    <w:r w:rsidR="00BA25E3" w:rsidRPr="00BA25E3">
      <w:rPr>
        <w:b/>
        <w:color w:val="006666"/>
        <w:sz w:val="18"/>
        <w:vertAlign w:val="subscript"/>
      </w:rPr>
      <w:instrText xml:space="preserve"> NUMPAGES   \* MERGEFORMAT </w:instrText>
    </w:r>
    <w:r w:rsidR="00BA25E3" w:rsidRPr="00BA25E3">
      <w:rPr>
        <w:b/>
        <w:color w:val="006666"/>
        <w:sz w:val="18"/>
        <w:vertAlign w:val="subscript"/>
      </w:rPr>
      <w:fldChar w:fldCharType="separate"/>
    </w:r>
    <w:r w:rsidR="00BA25E3" w:rsidRPr="00BA25E3">
      <w:rPr>
        <w:b/>
        <w:noProof/>
        <w:color w:val="006666"/>
        <w:sz w:val="18"/>
        <w:vertAlign w:val="subscript"/>
      </w:rPr>
      <w:t>4</w:t>
    </w:r>
    <w:r w:rsidR="00BA25E3" w:rsidRPr="00BA25E3">
      <w:rPr>
        <w:b/>
        <w:color w:val="006666"/>
        <w:sz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79DB" w14:textId="77777777" w:rsidR="00F256AD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 w14:paraId="46FE959C" w14:textId="77777777" w:rsidR="00F256AD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 w14:paraId="2FBE4D5A" w14:textId="77777777" w:rsidR="00F256AD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9/2022 da CPUA-CAU/PR, de 24 outubro de 2022</w:t>
    </w:r>
  </w:p>
  <w:p w14:paraId="32AA3AB5" w14:textId="77777777" w:rsidR="00F256AD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3</w:t>
    </w:r>
    <w:r>
      <w:rPr>
        <w:b/>
        <w:color w:val="00666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AD7D" w14:textId="77777777" w:rsidR="00034A91" w:rsidRDefault="00034A91">
      <w:r>
        <w:separator/>
      </w:r>
    </w:p>
  </w:footnote>
  <w:footnote w:type="continuationSeparator" w:id="0">
    <w:p w14:paraId="6712A468" w14:textId="77777777" w:rsidR="00034A91" w:rsidRDefault="0003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83A0" w14:textId="77777777" w:rsidR="00F256AD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</w:rPr>
      <w:drawing>
        <wp:anchor distT="0" distB="0" distL="0" distR="0" simplePos="0" relativeHeight="5" behindDoc="1" locked="0" layoutInCell="0" allowOverlap="1" wp14:anchorId="46AFB8E8" wp14:editId="5E557BF7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773A9" w14:textId="77777777" w:rsidR="00F256AD" w:rsidRDefault="00F256AD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15ECC867" w14:textId="77777777" w:rsidR="00F256AD" w:rsidRDefault="00F256AD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7D0DF20" w14:textId="77777777" w:rsidR="00F256AD" w:rsidRDefault="00000000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630CAD72" w14:textId="77777777" w:rsidR="00F256AD" w:rsidRDefault="00F256AD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485"/>
    <w:multiLevelType w:val="multilevel"/>
    <w:tmpl w:val="8EB89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C21BD"/>
    <w:multiLevelType w:val="multilevel"/>
    <w:tmpl w:val="164A6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725603"/>
    <w:multiLevelType w:val="multilevel"/>
    <w:tmpl w:val="E53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A33A1B"/>
    <w:multiLevelType w:val="multilevel"/>
    <w:tmpl w:val="BED699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E5080B"/>
    <w:multiLevelType w:val="multilevel"/>
    <w:tmpl w:val="9AAAF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8317050">
    <w:abstractNumId w:val="4"/>
  </w:num>
  <w:num w:numId="2" w16cid:durableId="953249986">
    <w:abstractNumId w:val="2"/>
  </w:num>
  <w:num w:numId="3" w16cid:durableId="12271282">
    <w:abstractNumId w:val="1"/>
  </w:num>
  <w:num w:numId="4" w16cid:durableId="361518035">
    <w:abstractNumId w:val="0"/>
  </w:num>
  <w:num w:numId="5" w16cid:durableId="1309165371">
    <w:abstractNumId w:val="3"/>
  </w:num>
  <w:num w:numId="6" w16cid:durableId="1495536261">
    <w:abstractNumId w:val="1"/>
  </w:num>
  <w:num w:numId="7" w16cid:durableId="80316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AD"/>
    <w:rsid w:val="00034A91"/>
    <w:rsid w:val="001629B6"/>
    <w:rsid w:val="002034E7"/>
    <w:rsid w:val="002E057F"/>
    <w:rsid w:val="003B1D9D"/>
    <w:rsid w:val="005E04BD"/>
    <w:rsid w:val="00720819"/>
    <w:rsid w:val="00735DCF"/>
    <w:rsid w:val="00833A01"/>
    <w:rsid w:val="00934896"/>
    <w:rsid w:val="00A05D3E"/>
    <w:rsid w:val="00B36D0D"/>
    <w:rsid w:val="00BA25E3"/>
    <w:rsid w:val="00E34F9C"/>
    <w:rsid w:val="00F16C9E"/>
    <w:rsid w:val="00F256AD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71AF"/>
  <w15:docId w15:val="{ACA4169F-FEA4-4A31-AA1B-2F014E2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3">
    <w:name w:val="heading 3"/>
    <w:basedOn w:val="Ttulo1"/>
    <w:next w:val="Corpodetexto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-tteCar">
    <w:name w:val="En-tête Car"/>
    <w:basedOn w:val="Fontepargpadr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1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">
    <w:name w:val="Title"/>
    <w:basedOn w:val="Normal"/>
    <w:next w:val="Corpodetexto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description/>
  <cp:lastModifiedBy>Walter Gustavo Linzmeyer</cp:lastModifiedBy>
  <cp:revision>14</cp:revision>
  <cp:lastPrinted>2022-08-29T16:16:00Z</cp:lastPrinted>
  <dcterms:created xsi:type="dcterms:W3CDTF">2022-12-11T22:33:00Z</dcterms:created>
  <dcterms:modified xsi:type="dcterms:W3CDTF">2022-12-11T23:04:00Z</dcterms:modified>
  <dc:language>pt-BR</dc:language>
</cp:coreProperties>
</file>