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>Protocolo nº 1</w:t>
            </w: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>380556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Uso Indevido das designações “Arquitetura e/ou Urbanismo” – ART &amp; MANHAS SERVIÇOS LTDA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15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9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extraordinariamente de forma virtual no dia 04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Considerando o relatório e voto apresentado pelo Conselheiro Relator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Maugham Zaze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Acompanhar o Relatório e Voto Fundamentado do conselheiro relator, no âmbito da CEP-CAU/PR, no sentido de 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deferir a defesa apresentada, arquivar o Auto de Infração e isentar a multa;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"/>
        <w:gridCol w:w="1517"/>
        <w:gridCol w:w="696"/>
        <w:gridCol w:w="2687"/>
        <w:gridCol w:w="583"/>
        <w:gridCol w:w="362"/>
        <w:gridCol w:w="454"/>
        <w:gridCol w:w="499"/>
        <w:gridCol w:w="194"/>
        <w:gridCol w:w="766"/>
        <w:gridCol w:w="1107"/>
      </w:tblGrid>
      <w:tr>
        <w:trPr/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04/11/2022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380556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/2021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132091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/2021.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9014585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LibreOffice/7.2.1.2$Windows_X86_64 LibreOffice_project/87b77fad49947c1441b67c559c339af8f3517e22</Application>
  <AppVersion>15.0000</AppVersion>
  <Pages>2</Pages>
  <Words>421</Words>
  <Characters>2421</Characters>
  <CharactersWithSpaces>2799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2022-11-26T17:59:59Z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