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113A22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381C7402" w14:textId="6469BC71" w:rsidR="00522CE9" w:rsidRPr="00A51EC6" w:rsidRDefault="00F72A10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PROTOCOLO n.º </w:t>
            </w:r>
            <w:r w:rsidRPr="00F72A10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1269031/2021</w:t>
            </w:r>
          </w:p>
        </w:tc>
      </w:tr>
      <w:tr w:rsidR="00522CE9" w:rsidRPr="00A51EC6" w14:paraId="078B017D" w14:textId="77777777" w:rsidTr="00113A22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3F5DAB8C" w14:textId="7AE4DF28" w:rsidR="00522CE9" w:rsidRPr="00A51EC6" w:rsidRDefault="00184289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GERÊNCIA TÉCNICA FISCALIZAÇÃO E ATENDIMENTO DO CAU/PR</w:t>
            </w:r>
          </w:p>
        </w:tc>
      </w:tr>
      <w:tr w:rsidR="00522CE9" w:rsidRPr="00A51EC6" w14:paraId="29AA7B7B" w14:textId="77777777" w:rsidTr="00113A22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14:paraId="6C02274C" w14:textId="5001912D" w:rsidR="00522CE9" w:rsidRPr="00A51EC6" w:rsidRDefault="00184289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APP 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e</w:t>
            </w:r>
            <w:r w:rsidR="00A361F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-CAU</w:t>
            </w:r>
            <w:proofErr w:type="spellEnd"/>
          </w:p>
        </w:tc>
      </w:tr>
      <w:tr w:rsidR="003438A7" w:rsidRPr="00A51EC6" w14:paraId="6BA455D2" w14:textId="77777777" w:rsidTr="000F08F1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0F08F1">
        <w:trPr>
          <w:cantSplit/>
          <w:trHeight w:val="283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B7E5047" w14:textId="0212B3BA" w:rsidR="003438A7" w:rsidRPr="00A51EC6" w:rsidRDefault="003438A7" w:rsidP="00DA1E2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º 0</w:t>
            </w:r>
            <w:r w:rsidR="00A361FE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3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2A98B3F0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F5357" w:rsidRPr="00A51EC6">
        <w:rPr>
          <w:rFonts w:ascii="Times New Roman" w:hAnsi="Times New Roman" w:cs="Times New Roman"/>
          <w:i/>
          <w:sz w:val="20"/>
          <w:szCs w:val="20"/>
        </w:rPr>
        <w:t>Microsoft</w:t>
      </w:r>
      <w:r w:rsidR="00AF5357" w:rsidRPr="00A51E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="00AF5357" w:rsidRPr="00A51EC6">
        <w:rPr>
          <w:rFonts w:ascii="Times New Roman" w:hAnsi="Times New Roman" w:cs="Times New Roman"/>
          <w:i/>
          <w:sz w:val="20"/>
          <w:szCs w:val="20"/>
        </w:rPr>
        <w:t>Teams</w:t>
      </w:r>
      <w:r w:rsidR="00E126A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AF5357" w:rsidRPr="00A51EC6">
        <w:rPr>
          <w:rFonts w:ascii="Times New Roman" w:hAnsi="Times New Roman" w:cs="Times New Roman"/>
          <w:sz w:val="20"/>
          <w:szCs w:val="20"/>
        </w:rPr>
        <w:t>15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AF5357" w:rsidRPr="00A51EC6">
        <w:rPr>
          <w:rFonts w:ascii="Times New Roman" w:hAnsi="Times New Roman" w:cs="Times New Roman"/>
          <w:sz w:val="20"/>
          <w:szCs w:val="20"/>
        </w:rPr>
        <w:t>março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61E5C459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44060B2E" w14:textId="0A31B7C3" w:rsidR="001210CF" w:rsidRDefault="001210CF" w:rsidP="001210CF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 o e</w:t>
      </w:r>
      <w:r w:rsidR="00116C6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Mail</w:t>
      </w:r>
      <w:r w:rsidR="00116C6B">
        <w:rPr>
          <w:rFonts w:ascii="Times New Roman" w:hAnsi="Times New Roman" w:cs="Times New Roman"/>
          <w:sz w:val="20"/>
          <w:szCs w:val="20"/>
        </w:rPr>
        <w:t xml:space="preserve"> encaminhado pela Assistente, </w:t>
      </w:r>
      <w:proofErr w:type="spellStart"/>
      <w:proofErr w:type="gramStart"/>
      <w:r w:rsidR="00116C6B">
        <w:rPr>
          <w:rFonts w:ascii="Times New Roman" w:hAnsi="Times New Roman" w:cs="Times New Roman"/>
          <w:sz w:val="20"/>
          <w:szCs w:val="20"/>
        </w:rPr>
        <w:t>Sr.a</w:t>
      </w:r>
      <w:proofErr w:type="spellEnd"/>
      <w:proofErr w:type="gramEnd"/>
      <w:r w:rsidR="00116C6B">
        <w:rPr>
          <w:rFonts w:ascii="Times New Roman" w:hAnsi="Times New Roman" w:cs="Times New Roman"/>
          <w:sz w:val="20"/>
          <w:szCs w:val="20"/>
        </w:rPr>
        <w:t xml:space="preserve"> LOURDES VASSELEK, ao Coordenador </w:t>
      </w:r>
      <w:r w:rsidR="0055496F">
        <w:rPr>
          <w:rFonts w:ascii="Times New Roman" w:hAnsi="Times New Roman" w:cs="Times New Roman"/>
          <w:sz w:val="20"/>
          <w:szCs w:val="20"/>
        </w:rPr>
        <w:t xml:space="preserve">da COA-CAU/PR, WALTER GUSTAVO LINZMEYER sobre demanda </w:t>
      </w:r>
      <w:r w:rsidR="006562EF">
        <w:rPr>
          <w:rFonts w:ascii="Times New Roman" w:hAnsi="Times New Roman" w:cs="Times New Roman"/>
          <w:sz w:val="20"/>
          <w:szCs w:val="20"/>
        </w:rPr>
        <w:t xml:space="preserve">da Gerência Técnica de </w:t>
      </w:r>
      <w:r w:rsidR="00314D37">
        <w:rPr>
          <w:rFonts w:ascii="Times New Roman" w:hAnsi="Times New Roman" w:cs="Times New Roman"/>
          <w:sz w:val="20"/>
          <w:szCs w:val="20"/>
        </w:rPr>
        <w:t>Atendimento e Fiscalização do CAU/PR (GETEC-PR);</w:t>
      </w:r>
    </w:p>
    <w:p w14:paraId="46AA67FE" w14:textId="6C1009E1" w:rsidR="007A1947" w:rsidRDefault="00AA7A75" w:rsidP="001210CF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o Protocolo n.º 1269031/2021 do SICCAU, relativo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</w:t>
      </w:r>
      <w:r w:rsidR="001210CF" w:rsidRPr="001210CF">
        <w:rPr>
          <w:rFonts w:ascii="Times New Roman" w:hAnsi="Times New Roman" w:cs="Times New Roman"/>
          <w:sz w:val="20"/>
          <w:szCs w:val="20"/>
        </w:rPr>
        <w:t>ugestão à COA</w:t>
      </w:r>
      <w:r w:rsidR="005F6877">
        <w:rPr>
          <w:rFonts w:ascii="Times New Roman" w:hAnsi="Times New Roman" w:cs="Times New Roman"/>
          <w:sz w:val="20"/>
          <w:szCs w:val="20"/>
        </w:rPr>
        <w:t>-CAU</w:t>
      </w:r>
      <w:r w:rsidR="001210CF" w:rsidRPr="001210CF">
        <w:rPr>
          <w:rFonts w:ascii="Times New Roman" w:hAnsi="Times New Roman" w:cs="Times New Roman"/>
          <w:sz w:val="20"/>
          <w:szCs w:val="20"/>
        </w:rPr>
        <w:t xml:space="preserve">/PR </w:t>
      </w:r>
      <w:r w:rsidR="005F6877">
        <w:rPr>
          <w:rFonts w:ascii="Times New Roman" w:hAnsi="Times New Roman" w:cs="Times New Roman"/>
          <w:sz w:val="20"/>
          <w:szCs w:val="20"/>
        </w:rPr>
        <w:t>sobre a</w:t>
      </w:r>
      <w:r w:rsidR="001210CF" w:rsidRPr="001210CF">
        <w:rPr>
          <w:rFonts w:ascii="Times New Roman" w:hAnsi="Times New Roman" w:cs="Times New Roman"/>
          <w:sz w:val="20"/>
          <w:szCs w:val="20"/>
        </w:rPr>
        <w:t xml:space="preserve"> implantação de envio de e-mail automático pelo sistema aos profissionais arquitetos e urbanistas no momento em que já</w:t>
      </w:r>
      <w:r w:rsidR="001210CF">
        <w:rPr>
          <w:rFonts w:ascii="Times New Roman" w:hAnsi="Times New Roman" w:cs="Times New Roman"/>
          <w:sz w:val="20"/>
          <w:szCs w:val="20"/>
        </w:rPr>
        <w:t xml:space="preserve"> </w:t>
      </w:r>
      <w:r w:rsidR="001210CF" w:rsidRPr="001210CF">
        <w:rPr>
          <w:rFonts w:ascii="Times New Roman" w:hAnsi="Times New Roman" w:cs="Times New Roman"/>
          <w:sz w:val="20"/>
          <w:szCs w:val="20"/>
        </w:rPr>
        <w:t xml:space="preserve">for possível a utilização do </w:t>
      </w:r>
      <w:r w:rsidR="005F6877" w:rsidRPr="001210CF">
        <w:rPr>
          <w:rFonts w:ascii="Times New Roman" w:hAnsi="Times New Roman" w:cs="Times New Roman"/>
          <w:sz w:val="20"/>
          <w:szCs w:val="20"/>
        </w:rPr>
        <w:t xml:space="preserve">APP </w:t>
      </w:r>
      <w:proofErr w:type="spellStart"/>
      <w:r w:rsidR="001210CF" w:rsidRPr="001210CF">
        <w:rPr>
          <w:rFonts w:ascii="Times New Roman" w:hAnsi="Times New Roman" w:cs="Times New Roman"/>
          <w:sz w:val="20"/>
          <w:szCs w:val="20"/>
        </w:rPr>
        <w:t>e-CAU</w:t>
      </w:r>
      <w:proofErr w:type="spellEnd"/>
      <w:r w:rsidR="001210CF" w:rsidRPr="001210CF">
        <w:rPr>
          <w:rFonts w:ascii="Times New Roman" w:hAnsi="Times New Roman" w:cs="Times New Roman"/>
          <w:sz w:val="20"/>
          <w:szCs w:val="20"/>
        </w:rPr>
        <w:t>, quando da solicitação de carteira profissional</w:t>
      </w:r>
      <w:r w:rsidR="005F6877">
        <w:rPr>
          <w:rFonts w:ascii="Times New Roman" w:hAnsi="Times New Roman" w:cs="Times New Roman"/>
          <w:sz w:val="20"/>
          <w:szCs w:val="20"/>
        </w:rPr>
        <w:t>;</w:t>
      </w:r>
    </w:p>
    <w:p w14:paraId="6F59DF60" w14:textId="2B22A403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32078500" w14:textId="7A3119BF" w:rsidR="009C7D4F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8F04E42" w14:textId="2BB5B223" w:rsidR="002B4341" w:rsidRPr="000314EB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0018D59F" w14:textId="023A4000" w:rsidR="00480022" w:rsidRPr="008B0443" w:rsidRDefault="008B0443" w:rsidP="0055074D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Pela i</w:t>
      </w:r>
      <w:r w:rsidRPr="008B0443">
        <w:rPr>
          <w:rFonts w:ascii="Times New Roman" w:hAnsi="Times New Roman" w:cs="Times New Roman"/>
          <w:sz w:val="20"/>
          <w:szCs w:val="20"/>
        </w:rPr>
        <w:t xml:space="preserve">mplantação de envio de e-mail automático pelo sistema aos profissionais arquitetos e urbanistas </w:t>
      </w:r>
      <w:proofErr w:type="gramStart"/>
      <w:r w:rsidRPr="008B0443">
        <w:rPr>
          <w:rFonts w:ascii="Times New Roman" w:hAnsi="Times New Roman" w:cs="Times New Roman"/>
          <w:sz w:val="20"/>
          <w:szCs w:val="20"/>
        </w:rPr>
        <w:t>no momento em que</w:t>
      </w:r>
      <w:proofErr w:type="gramEnd"/>
      <w:r w:rsidRPr="008B0443">
        <w:rPr>
          <w:rFonts w:ascii="Times New Roman" w:hAnsi="Times New Roman" w:cs="Times New Roman"/>
          <w:sz w:val="20"/>
          <w:szCs w:val="20"/>
        </w:rPr>
        <w:t xml:space="preserve"> já for possível a utilização do </w:t>
      </w:r>
      <w:r w:rsidR="007A1947" w:rsidRPr="008B0443">
        <w:rPr>
          <w:rFonts w:ascii="Times New Roman" w:hAnsi="Times New Roman" w:cs="Times New Roman"/>
          <w:sz w:val="20"/>
          <w:szCs w:val="20"/>
        </w:rPr>
        <w:t xml:space="preserve">APP </w:t>
      </w:r>
      <w:proofErr w:type="spellStart"/>
      <w:r w:rsidRPr="008B0443">
        <w:rPr>
          <w:rFonts w:ascii="Times New Roman" w:hAnsi="Times New Roman" w:cs="Times New Roman"/>
          <w:sz w:val="20"/>
          <w:szCs w:val="20"/>
        </w:rPr>
        <w:t>e-CAU</w:t>
      </w:r>
      <w:proofErr w:type="spellEnd"/>
      <w:r w:rsidRPr="008B0443">
        <w:rPr>
          <w:rFonts w:ascii="Times New Roman" w:hAnsi="Times New Roman" w:cs="Times New Roman"/>
          <w:sz w:val="20"/>
          <w:szCs w:val="20"/>
        </w:rPr>
        <w:t>, quando da solicitação de carteira profissional</w:t>
      </w:r>
      <w:r w:rsidR="00A00128">
        <w:rPr>
          <w:rFonts w:ascii="Times New Roman" w:hAnsi="Times New Roman" w:cs="Times New Roman"/>
          <w:sz w:val="20"/>
          <w:szCs w:val="20"/>
        </w:rPr>
        <w:t>, após a apresentação detalhada da operação e eventuais custos do mesmo à COA-CAU/PR</w:t>
      </w:r>
      <w:r w:rsidR="00207A78" w:rsidRPr="008B0443">
        <w:rPr>
          <w:rFonts w:ascii="Times New Roman" w:hAnsi="Times New Roman" w:cs="Times New Roman"/>
          <w:sz w:val="20"/>
          <w:szCs w:val="20"/>
        </w:rPr>
        <w:t>; e</w:t>
      </w:r>
    </w:p>
    <w:p w14:paraId="6D92DCF9" w14:textId="49224079" w:rsidR="00AF5357" w:rsidRPr="00A51EC6" w:rsidRDefault="00BF4252" w:rsidP="00E96CA1">
      <w:pPr>
        <w:pStyle w:val="PargrafodaLista"/>
        <w:numPr>
          <w:ilvl w:val="0"/>
          <w:numId w:val="4"/>
        </w:numPr>
        <w:tabs>
          <w:tab w:val="left" w:pos="4968"/>
        </w:tabs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Solicitar à Gerente Técnica</w:t>
      </w:r>
      <w:r w:rsidR="00AE199F">
        <w:rPr>
          <w:rFonts w:ascii="Times New Roman" w:hAnsi="Times New Roman" w:cs="Times New Roman"/>
          <w:sz w:val="20"/>
          <w:szCs w:val="20"/>
        </w:rPr>
        <w:t xml:space="preserve"> de Atendimento e Fiscalização</w:t>
      </w:r>
      <w:r w:rsidR="00FB1570">
        <w:rPr>
          <w:rFonts w:ascii="Times New Roman" w:hAnsi="Times New Roman" w:cs="Times New Roman"/>
          <w:sz w:val="20"/>
          <w:szCs w:val="20"/>
        </w:rPr>
        <w:t>, MARIANA VAZ GÊNOVA,</w:t>
      </w:r>
      <w:r w:rsidR="00AE199F">
        <w:rPr>
          <w:rFonts w:ascii="Times New Roman" w:hAnsi="Times New Roman" w:cs="Times New Roman"/>
          <w:sz w:val="20"/>
          <w:szCs w:val="20"/>
        </w:rPr>
        <w:t xml:space="preserve"> maiores esclarecimentos e </w:t>
      </w:r>
      <w:r w:rsidR="00FB1570">
        <w:rPr>
          <w:rFonts w:ascii="Times New Roman" w:hAnsi="Times New Roman" w:cs="Times New Roman"/>
          <w:sz w:val="20"/>
          <w:szCs w:val="20"/>
        </w:rPr>
        <w:t xml:space="preserve">apresentação técnica </w:t>
      </w:r>
      <w:r w:rsidR="00F606EC">
        <w:rPr>
          <w:rFonts w:ascii="Times New Roman" w:hAnsi="Times New Roman" w:cs="Times New Roman"/>
          <w:sz w:val="20"/>
          <w:szCs w:val="20"/>
        </w:rPr>
        <w:t xml:space="preserve">à Comissão, relativo as possíveis funcionalidades do APP em questão, assim como eventuais </w:t>
      </w:r>
      <w:r w:rsidR="00F17C8C">
        <w:rPr>
          <w:rFonts w:ascii="Times New Roman" w:hAnsi="Times New Roman" w:cs="Times New Roman"/>
          <w:sz w:val="20"/>
          <w:szCs w:val="20"/>
        </w:rPr>
        <w:t xml:space="preserve">dados técnicos e custos </w:t>
      </w:r>
      <w:r w:rsidR="00E152FF">
        <w:rPr>
          <w:rFonts w:ascii="Times New Roman" w:hAnsi="Times New Roman" w:cs="Times New Roman"/>
          <w:sz w:val="20"/>
          <w:szCs w:val="20"/>
        </w:rPr>
        <w:t>dele</w:t>
      </w:r>
      <w:r w:rsidR="00F17C8C">
        <w:rPr>
          <w:rFonts w:ascii="Times New Roman" w:hAnsi="Times New Roman" w:cs="Times New Roman"/>
          <w:sz w:val="20"/>
          <w:szCs w:val="20"/>
        </w:rPr>
        <w:t xml:space="preserve"> </w:t>
      </w:r>
      <w:r w:rsidR="00054D23">
        <w:rPr>
          <w:rFonts w:ascii="Times New Roman" w:hAnsi="Times New Roman" w:cs="Times New Roman"/>
          <w:sz w:val="20"/>
          <w:szCs w:val="20"/>
        </w:rPr>
        <w:t>na</w:t>
      </w:r>
      <w:r w:rsidR="00F17C8C">
        <w:rPr>
          <w:rFonts w:ascii="Times New Roman" w:hAnsi="Times New Roman" w:cs="Times New Roman"/>
          <w:sz w:val="20"/>
          <w:szCs w:val="20"/>
        </w:rPr>
        <w:t xml:space="preserve"> próxima reunião</w:t>
      </w:r>
      <w:r w:rsidR="00AF5357" w:rsidRPr="00A51EC6">
        <w:rPr>
          <w:rFonts w:ascii="Times New Roman" w:hAnsi="Times New Roman" w:cs="Times New Roman"/>
          <w:sz w:val="20"/>
          <w:szCs w:val="20"/>
        </w:rPr>
        <w:t>.</w:t>
      </w:r>
    </w:p>
    <w:p w14:paraId="4AF84AB5" w14:textId="4B8BC213" w:rsidR="002B4341" w:rsidRPr="00A51EC6" w:rsidRDefault="002B4341" w:rsidP="00E96CA1">
      <w:pPr>
        <w:tabs>
          <w:tab w:val="left" w:pos="4968"/>
        </w:tabs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AF5357" w:rsidRPr="00A51EC6">
        <w:rPr>
          <w:rFonts w:ascii="Times New Roman" w:hAnsi="Times New Roman" w:cs="Times New Roman"/>
          <w:sz w:val="20"/>
          <w:szCs w:val="20"/>
        </w:rPr>
        <w:t>15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AF5357" w:rsidRPr="00A51EC6">
        <w:rPr>
          <w:rFonts w:ascii="Times New Roman" w:hAnsi="Times New Roman" w:cs="Times New Roman"/>
          <w:sz w:val="20"/>
          <w:szCs w:val="20"/>
        </w:rPr>
        <w:t>março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01E0BE6F" w14:textId="25F654C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61E654D" w14:textId="07212F1E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669C709D" w:rsidR="00B618FA" w:rsidRPr="00ED0BE7" w:rsidRDefault="00B618FA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3ª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6A1A04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6A1A04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6A1A04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6A1A04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4EC27C13" w14:textId="77777777" w:rsidTr="006A1A04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7DF7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3F27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Vandinês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Gremaschi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A18E6" w14:textId="5B5934C4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9FC95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BC67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A3B5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6A1A04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61EC317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52F093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Rafaela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692CF2B5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464947">
              <w:rPr>
                <w:b/>
                <w:sz w:val="20"/>
                <w:szCs w:val="20"/>
              </w:rPr>
              <w:t>3</w:t>
            </w:r>
            <w:r w:rsidRPr="00B618FA">
              <w:rPr>
                <w:b/>
                <w:sz w:val="20"/>
                <w:szCs w:val="20"/>
              </w:rPr>
              <w:t>ª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272D46AD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5C0FEE">
              <w:rPr>
                <w:b/>
                <w:sz w:val="20"/>
                <w:szCs w:val="20"/>
              </w:rPr>
              <w:t>15</w:t>
            </w:r>
            <w:r w:rsidRPr="00B618FA">
              <w:rPr>
                <w:b/>
                <w:sz w:val="20"/>
                <w:szCs w:val="20"/>
              </w:rPr>
              <w:t>/03/2021</w:t>
            </w:r>
          </w:p>
          <w:p w14:paraId="5ABDF51A" w14:textId="27917BF1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DD0837" w:rsidRPr="00DD0837">
              <w:rPr>
                <w:rFonts w:eastAsia="Cambria"/>
                <w:b/>
                <w:sz w:val="20"/>
                <w:szCs w:val="20"/>
                <w:lang w:eastAsia="pt-BR"/>
              </w:rPr>
              <w:t>APP e-CAU</w:t>
            </w:r>
          </w:p>
          <w:p w14:paraId="4470D6B0" w14:textId="5C9905F3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5C0FEE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 xml:space="preserve">(0)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FD2934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FD2934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4AE2" w14:textId="77777777" w:rsidR="00CF3891" w:rsidRDefault="00CF3891" w:rsidP="00F21A0B">
      <w:pPr>
        <w:spacing w:after="0" w:line="240" w:lineRule="auto"/>
      </w:pPr>
      <w:r>
        <w:separator/>
      </w:r>
    </w:p>
  </w:endnote>
  <w:endnote w:type="continuationSeparator" w:id="0">
    <w:p w14:paraId="314E4906" w14:textId="77777777" w:rsidR="00CF3891" w:rsidRDefault="00CF3891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t>1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003007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4"/>
                        <w:szCs w:val="24"/>
                      </w:rPr>
                      <w:t>1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003007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5B56EDE2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C22635">
      <w:rPr>
        <w:rFonts w:ascii="DaxCondensed" w:hAnsi="DaxCondensed"/>
        <w:b/>
        <w:color w:val="A6A6A6"/>
        <w:spacing w:val="-1"/>
        <w:sz w:val="18"/>
      </w:rPr>
      <w:t>n.º 00</w:t>
    </w:r>
    <w:r w:rsidR="00DD0837">
      <w:rPr>
        <w:rFonts w:ascii="DaxCondensed" w:hAnsi="DaxCondensed"/>
        <w:b/>
        <w:color w:val="A6A6A6"/>
        <w:spacing w:val="-1"/>
        <w:sz w:val="18"/>
      </w:rPr>
      <w:t>3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>
      <w:rPr>
        <w:rFonts w:ascii="DaxCondensed" w:hAnsi="DaxCondensed"/>
        <w:b/>
        <w:color w:val="A6A6A6"/>
        <w:sz w:val="18"/>
      </w:rPr>
      <w:t>15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>
      <w:rPr>
        <w:rFonts w:ascii="DaxCondensed" w:hAnsi="DaxCondensed"/>
        <w:b/>
        <w:color w:val="A6A6A6"/>
        <w:sz w:val="18"/>
      </w:rPr>
      <w:t>março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6478" w14:textId="77777777" w:rsidR="00CF3891" w:rsidRDefault="00CF3891" w:rsidP="00F21A0B">
      <w:pPr>
        <w:spacing w:after="0" w:line="240" w:lineRule="auto"/>
      </w:pPr>
      <w:r>
        <w:separator/>
      </w:r>
    </w:p>
  </w:footnote>
  <w:footnote w:type="continuationSeparator" w:id="0">
    <w:p w14:paraId="2E0753D3" w14:textId="77777777" w:rsidR="00CF3891" w:rsidRDefault="00CF3891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5B1B"/>
    <w:rsid w:val="000A21F6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0F08F1"/>
    <w:rsid w:val="00112097"/>
    <w:rsid w:val="00113A22"/>
    <w:rsid w:val="00116C6B"/>
    <w:rsid w:val="001210CF"/>
    <w:rsid w:val="00132C6E"/>
    <w:rsid w:val="001330F9"/>
    <w:rsid w:val="00143B82"/>
    <w:rsid w:val="00167BAF"/>
    <w:rsid w:val="00170770"/>
    <w:rsid w:val="0017150E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F5AEE"/>
    <w:rsid w:val="002F61E9"/>
    <w:rsid w:val="00314948"/>
    <w:rsid w:val="00314D37"/>
    <w:rsid w:val="00315906"/>
    <w:rsid w:val="0032139A"/>
    <w:rsid w:val="00321F8C"/>
    <w:rsid w:val="00325F15"/>
    <w:rsid w:val="003341E9"/>
    <w:rsid w:val="00335B82"/>
    <w:rsid w:val="0034326C"/>
    <w:rsid w:val="003438A7"/>
    <w:rsid w:val="0035030E"/>
    <w:rsid w:val="00353924"/>
    <w:rsid w:val="0035794E"/>
    <w:rsid w:val="00363F49"/>
    <w:rsid w:val="003649FE"/>
    <w:rsid w:val="00365614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612D"/>
    <w:rsid w:val="003E0FA7"/>
    <w:rsid w:val="003F183F"/>
    <w:rsid w:val="00410A3E"/>
    <w:rsid w:val="004126BC"/>
    <w:rsid w:val="00416A73"/>
    <w:rsid w:val="004201B4"/>
    <w:rsid w:val="00422504"/>
    <w:rsid w:val="0042261E"/>
    <w:rsid w:val="00424517"/>
    <w:rsid w:val="00433776"/>
    <w:rsid w:val="00436690"/>
    <w:rsid w:val="00445FFA"/>
    <w:rsid w:val="0045293F"/>
    <w:rsid w:val="00464947"/>
    <w:rsid w:val="004676A8"/>
    <w:rsid w:val="00473EEE"/>
    <w:rsid w:val="00480022"/>
    <w:rsid w:val="00482310"/>
    <w:rsid w:val="00493906"/>
    <w:rsid w:val="00496901"/>
    <w:rsid w:val="004A6703"/>
    <w:rsid w:val="004B3790"/>
    <w:rsid w:val="004E5152"/>
    <w:rsid w:val="004F050E"/>
    <w:rsid w:val="004F528F"/>
    <w:rsid w:val="004F6AE7"/>
    <w:rsid w:val="005025E3"/>
    <w:rsid w:val="005074C5"/>
    <w:rsid w:val="00514147"/>
    <w:rsid w:val="00522CE9"/>
    <w:rsid w:val="005408B5"/>
    <w:rsid w:val="00540ABE"/>
    <w:rsid w:val="00542943"/>
    <w:rsid w:val="005430D1"/>
    <w:rsid w:val="00544B5D"/>
    <w:rsid w:val="0055496F"/>
    <w:rsid w:val="00565CDE"/>
    <w:rsid w:val="00573CA1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6877"/>
    <w:rsid w:val="00600403"/>
    <w:rsid w:val="00620CBC"/>
    <w:rsid w:val="00625DB2"/>
    <w:rsid w:val="006335FF"/>
    <w:rsid w:val="00636E95"/>
    <w:rsid w:val="00647381"/>
    <w:rsid w:val="006479C0"/>
    <w:rsid w:val="006562EF"/>
    <w:rsid w:val="00656E44"/>
    <w:rsid w:val="00662860"/>
    <w:rsid w:val="006740E5"/>
    <w:rsid w:val="00674695"/>
    <w:rsid w:val="00676E50"/>
    <w:rsid w:val="00690402"/>
    <w:rsid w:val="00695B09"/>
    <w:rsid w:val="0069660A"/>
    <w:rsid w:val="00697C94"/>
    <w:rsid w:val="006A0DAC"/>
    <w:rsid w:val="006A1A04"/>
    <w:rsid w:val="006A1ADF"/>
    <w:rsid w:val="006C00E8"/>
    <w:rsid w:val="006D0BE4"/>
    <w:rsid w:val="006D7487"/>
    <w:rsid w:val="006E7076"/>
    <w:rsid w:val="006F0AF7"/>
    <w:rsid w:val="006F624B"/>
    <w:rsid w:val="00702858"/>
    <w:rsid w:val="00725F5E"/>
    <w:rsid w:val="00730B7E"/>
    <w:rsid w:val="007370FB"/>
    <w:rsid w:val="00742357"/>
    <w:rsid w:val="0075200F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731C"/>
    <w:rsid w:val="00856A96"/>
    <w:rsid w:val="008719AF"/>
    <w:rsid w:val="00882634"/>
    <w:rsid w:val="008961F3"/>
    <w:rsid w:val="008A7045"/>
    <w:rsid w:val="008B0443"/>
    <w:rsid w:val="008B5E68"/>
    <w:rsid w:val="008C7F42"/>
    <w:rsid w:val="008D2419"/>
    <w:rsid w:val="008E0810"/>
    <w:rsid w:val="008E5C17"/>
    <w:rsid w:val="008E708F"/>
    <w:rsid w:val="008F1270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A158F"/>
    <w:rsid w:val="009A2D8E"/>
    <w:rsid w:val="009C7181"/>
    <w:rsid w:val="009C7D4F"/>
    <w:rsid w:val="009D1D5F"/>
    <w:rsid w:val="009D4F9A"/>
    <w:rsid w:val="009E5CDA"/>
    <w:rsid w:val="009F1AFE"/>
    <w:rsid w:val="009F5355"/>
    <w:rsid w:val="009F75AC"/>
    <w:rsid w:val="00A00128"/>
    <w:rsid w:val="00A03887"/>
    <w:rsid w:val="00A1205C"/>
    <w:rsid w:val="00A128C2"/>
    <w:rsid w:val="00A361FE"/>
    <w:rsid w:val="00A443C3"/>
    <w:rsid w:val="00A51EC6"/>
    <w:rsid w:val="00A569EA"/>
    <w:rsid w:val="00A61884"/>
    <w:rsid w:val="00A637BC"/>
    <w:rsid w:val="00A72F83"/>
    <w:rsid w:val="00A768BC"/>
    <w:rsid w:val="00A82A90"/>
    <w:rsid w:val="00AA7A75"/>
    <w:rsid w:val="00AB6ABE"/>
    <w:rsid w:val="00AB71BE"/>
    <w:rsid w:val="00AD6F98"/>
    <w:rsid w:val="00AE199F"/>
    <w:rsid w:val="00AF5357"/>
    <w:rsid w:val="00B0297A"/>
    <w:rsid w:val="00B032D9"/>
    <w:rsid w:val="00B045C2"/>
    <w:rsid w:val="00B11798"/>
    <w:rsid w:val="00B140E1"/>
    <w:rsid w:val="00B1654D"/>
    <w:rsid w:val="00B17B60"/>
    <w:rsid w:val="00B30CE9"/>
    <w:rsid w:val="00B50D6D"/>
    <w:rsid w:val="00B528BB"/>
    <w:rsid w:val="00B553F7"/>
    <w:rsid w:val="00B55BAB"/>
    <w:rsid w:val="00B618FA"/>
    <w:rsid w:val="00B62753"/>
    <w:rsid w:val="00B77AFB"/>
    <w:rsid w:val="00B96C1A"/>
    <w:rsid w:val="00BB036B"/>
    <w:rsid w:val="00BB03BE"/>
    <w:rsid w:val="00BC2C5D"/>
    <w:rsid w:val="00BE0BCD"/>
    <w:rsid w:val="00BF4252"/>
    <w:rsid w:val="00C0477E"/>
    <w:rsid w:val="00C22635"/>
    <w:rsid w:val="00C25BBC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D62CB"/>
    <w:rsid w:val="00CE5708"/>
    <w:rsid w:val="00CF1EE7"/>
    <w:rsid w:val="00CF3891"/>
    <w:rsid w:val="00D00FBF"/>
    <w:rsid w:val="00D02432"/>
    <w:rsid w:val="00D06741"/>
    <w:rsid w:val="00D12F5C"/>
    <w:rsid w:val="00D2355A"/>
    <w:rsid w:val="00D27453"/>
    <w:rsid w:val="00D30B38"/>
    <w:rsid w:val="00D40E49"/>
    <w:rsid w:val="00D4579C"/>
    <w:rsid w:val="00D550FB"/>
    <w:rsid w:val="00D66B1C"/>
    <w:rsid w:val="00D8744F"/>
    <w:rsid w:val="00D92C02"/>
    <w:rsid w:val="00D948F9"/>
    <w:rsid w:val="00D9737F"/>
    <w:rsid w:val="00DA0EF3"/>
    <w:rsid w:val="00DA1E2E"/>
    <w:rsid w:val="00DA6541"/>
    <w:rsid w:val="00DC5EC7"/>
    <w:rsid w:val="00DD0837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216DC"/>
    <w:rsid w:val="00E256DB"/>
    <w:rsid w:val="00E35D2F"/>
    <w:rsid w:val="00E443FF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551A"/>
    <w:rsid w:val="00F355FF"/>
    <w:rsid w:val="00F36AB5"/>
    <w:rsid w:val="00F466CC"/>
    <w:rsid w:val="00F606EC"/>
    <w:rsid w:val="00F63DCF"/>
    <w:rsid w:val="00F72A10"/>
    <w:rsid w:val="00FB1570"/>
    <w:rsid w:val="00FD145F"/>
    <w:rsid w:val="00FD2934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3089-F25C-43DB-8FBB-156697A7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Linzmayer</cp:lastModifiedBy>
  <cp:revision>29</cp:revision>
  <cp:lastPrinted>2021-05-10T23:14:00Z</cp:lastPrinted>
  <dcterms:created xsi:type="dcterms:W3CDTF">2021-04-11T23:29:00Z</dcterms:created>
  <dcterms:modified xsi:type="dcterms:W3CDTF">2021-05-10T23:14:00Z</dcterms:modified>
</cp:coreProperties>
</file>