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24" w:type="dxa"/>
        <w:jc w:val="center"/>
        <w:tblInd w:w="0" w:type="dxa"/>
        <w:tblLayout w:type="fixed"/>
        <w:tblCellMar>
          <w:top w:w="14" w:type="dxa"/>
          <w:left w:w="0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9124"/>
      </w:tblGrid>
      <w:tr>
        <w:trPr>
          <w:trHeight w:val="250" w:hRule="atLeast"/>
        </w:trPr>
        <w:tc>
          <w:tcPr>
            <w:tcW w:w="9124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11ª REUNIÃO ORDINÁRIA 2022 DA CPUA-CAU/PR</w:t>
            </w:r>
          </w:p>
        </w:tc>
      </w:tr>
    </w:tbl>
    <w:p>
      <w:pPr>
        <w:pStyle w:val="Normal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1834"/>
        <w:gridCol w:w="3374"/>
        <w:gridCol w:w="977"/>
        <w:gridCol w:w="2885"/>
      </w:tblGrid>
      <w:tr>
        <w:trPr>
          <w:trHeight w:val="283" w:hRule="atLeast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12 de novembro de 2022</w:t>
            </w:r>
          </w:p>
        </w:tc>
        <w:tc>
          <w:tcPr>
            <w:tcW w:w="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10 h às 12 h</w:t>
            </w:r>
          </w:p>
        </w:tc>
      </w:tr>
      <w:tr>
        <w:trPr>
          <w:trHeight w:val="283" w:hRule="atLeast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Híbrida, plataforma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shd w:fill="FFFFFF" w:val="clear"/>
              </w:rPr>
              <w:t xml:space="preserve">Teams,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na sede do CAUPR </w:t>
            </w:r>
          </w:p>
        </w:tc>
      </w:tr>
    </w:tbl>
    <w:p>
      <w:pPr>
        <w:pStyle w:val="Normal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4"/>
        <w:gridCol w:w="3409"/>
        <w:gridCol w:w="3828"/>
      </w:tblGrid>
      <w:tr>
        <w:trPr>
          <w:trHeight w:val="283" w:hRule="exact"/>
        </w:trPr>
        <w:tc>
          <w:tcPr>
            <w:tcW w:w="18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Ormy Leocádio Hütner Junior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 Zaze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Antônio Ricardo Nunes Sardo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 Nakano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 da CPUA-CAU/PR</w:t>
            </w:r>
          </w:p>
        </w:tc>
      </w:tr>
    </w:tbl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/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Leitura e aprovação da Súmula da reunião anterior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Foram lida e aprovada a súmula nº 10 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/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Comunicações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Walter Gustavo Linzmeyer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O Coordenador adjunto </w:t>
            </w:r>
            <w:r>
              <w:rPr>
                <w:rFonts w:eastAsia="Arial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Walter Gustavo Linzmeyer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abriu a reunião as 10h. Por motivos acadêmicos o conselheiro </w:t>
            </w:r>
            <w:r>
              <w:rPr>
                <w:rFonts w:eastAsia="Calibri" w:ascii="Times New Roman" w:hAnsi="Times New Roman"/>
                <w:color w:val="000000" w:themeColor="text1"/>
                <w:spacing w:val="4"/>
                <w:kern w:val="0"/>
                <w:sz w:val="22"/>
                <w:szCs w:val="22"/>
                <w:lang w:val="pt-BR" w:eastAsia="en-US" w:bidi="ar-SA"/>
              </w:rPr>
              <w:t>Ormy Leocádio Hütner Junior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justificou a ausência na reunião e o conselheiro </w:t>
            </w:r>
            <w:r>
              <w:rPr>
                <w:rFonts w:eastAsia="Calibri" w:ascii="Times New Roman" w:hAnsi="Times New Roman"/>
                <w:color w:val="000000"/>
                <w:spacing w:val="4"/>
                <w:kern w:val="0"/>
                <w:sz w:val="22"/>
                <w:szCs w:val="22"/>
                <w:lang w:val="pt-BR" w:eastAsia="en-US" w:bidi="ar-SA"/>
              </w:rPr>
              <w:t xml:space="preserve">Antônio Ricardo Nunes Sardo por motivo da agenda da CPFi justificou a ausência na reunião.  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4"/>
                <w:kern w:val="0"/>
                <w:sz w:val="22"/>
                <w:szCs w:val="22"/>
                <w:lang w:val="pt-BR" w:eastAsia="en-US" w:bidi="ar-SA"/>
              </w:rPr>
              <w:t xml:space="preserve">Foram retiradas de pauta: </w:t>
            </w: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>Protocolo 1640635/2022</w:t>
            </w:r>
            <w:r>
              <w:rPr>
                <w:rFonts w:eastAsia="Calibri" w:ascii="Times New Roman" w:hAnsi="Times New Roman"/>
                <w:color w:val="000000"/>
                <w:spacing w:val="4"/>
                <w:kern w:val="0"/>
                <w:sz w:val="22"/>
                <w:szCs w:val="22"/>
                <w:lang w:val="pt-BR" w:eastAsia="en-US" w:bidi="ar-SA"/>
              </w:rPr>
              <w:t xml:space="preserve">, </w:t>
            </w: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 xml:space="preserve">ACOMPANHAMENTO PARLAMENTAR, Carta aos candidatos, Planos Diretores Municipais e CAU EDUCA </w:t>
            </w: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 xml:space="preserve">por </w:t>
            </w: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 xml:space="preserve">não </w:t>
            </w: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>terem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 xml:space="preserve"> contribuições a serem relatadas.</w:t>
            </w: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 w:ascii="Times New Roman" w:hAnsi="Times New Roman"/>
                <w:color w:val="000000"/>
                <w:spacing w:val="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                                                                                            </w:t>
            </w:r>
          </w:p>
        </w:tc>
      </w:tr>
    </w:tbl>
    <w:p>
      <w:pPr>
        <w:pStyle w:val="Normal"/>
        <w:tabs>
          <w:tab w:val="clear" w:pos="708"/>
          <w:tab w:val="left" w:pos="484" w:leader="none"/>
          <w:tab w:val="left" w:pos="2249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jc w:val="center"/>
        <w:rPr>
          <w:rFonts w:ascii="Times New Roman" w:hAnsi="Times New Roman"/>
          <w:b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SubtleEmphasis"/>
          <w:rFonts w:ascii="Times New Roman" w:hAnsi="Times New Roman"/>
          <w:b/>
          <w:i w:val="false"/>
          <w:sz w:val="20"/>
          <w:szCs w:val="20"/>
        </w:rPr>
        <w:t>ORDEM DO DIA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1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Indicar para  Ministro das Cidades um Arquiteto e Urbanista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false"/>
              <w:spacing w:before="0" w:after="0"/>
              <w:ind w:right="14" w:hanging="0"/>
              <w:jc w:val="both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Relator</w:t>
            </w:r>
          </w:p>
        </w:tc>
        <w:tc>
          <w:tcPr>
            <w:tcW w:w="722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kern w:val="0"/>
                <w:sz w:val="22"/>
                <w:szCs w:val="22"/>
                <w:lang w:val="pt-BR" w:eastAsia="pt-BR" w:bidi="ar-SA"/>
              </w:rPr>
              <w:t>Maugham Zaze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PlainText"/>
              <w:widowControl w:val="fals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O Conselheiro MAUGHAM relatou a dificuldade de fazer uma lista com nomes para o cargo de Ministro das Cidades dado os desafios e as circunstancias policitas, mas independente de achar um nome o CAUPR deve se posicionar com relação a indicação do GUILHERME BOULOS,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e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 indicar um nome novo pois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agumas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 pessoas estiveram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em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vários momentos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n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as esferas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municipais,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estaduais e federais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e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os resultados não foram os melhores possíveis. Para o conselheiro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GUSTAVO é um documento histórico e importante na matéria no planejamento do Brasil face as condições da profissão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do arquiteto urbanista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e endossa a indicação nossa que de um nome de técnico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A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rquiteto Urbanista. </w:t>
            </w:r>
          </w:p>
          <w:p>
            <w:pPr>
              <w:pStyle w:val="PlainText"/>
              <w:widowControl w:val="false"/>
              <w:spacing w:before="0" w:after="0"/>
              <w:jc w:val="both"/>
              <w:rPr/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Face ao periodo que vivenciamos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e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a essa politica de transição o con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s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elherio MAUGHAM leu seu relato que foi apreciado e foram feitas algumas contribuições que ao entender da comissão é de grande importância ser apreciado com a maxima urgênica na Plenaria.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24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DELIBERA: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51" w:leader="none"/>
                <w:tab w:val="left" w:pos="12780" w:leader="none"/>
              </w:tabs>
              <w:spacing w:lineRule="auto" w:line="276" w:before="240" w:after="240"/>
              <w:contextualSpacing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Aprovado por unaminidade o Relatório e Voto do conselheiro Maugham Zaze de que o CAU/PR </w:t>
            </w: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sugira a equipe de transição e futuro governo federal para o cargo de Ministro das Cidades um Arquiteto e Urbanista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51" w:leader="none"/>
                <w:tab w:val="left" w:pos="12780" w:leader="none"/>
              </w:tabs>
              <w:spacing w:lineRule="auto" w:line="276" w:before="240" w:after="240"/>
              <w:contextualSpacing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apreciação do Plenário do CAU/PR em regime de urgência face ao prazo de composição da nova equipe federal que está se estruturando no governo federal eleito; e</w:t>
            </w:r>
          </w:p>
          <w:p>
            <w:pPr>
              <w:pStyle w:val="Corpodotexto"/>
              <w:widowControl w:val="false"/>
              <w:numPr>
                <w:ilvl w:val="0"/>
                <w:numId w:val="3"/>
              </w:numPr>
              <w:suppressAutoHyphens w:val="true"/>
              <w:spacing w:before="0" w:after="140"/>
              <w:jc w:val="both"/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eastAsia="Arial" w:ascii="Times New Roman" w:hAnsi="Times New Roman"/>
                <w:bCs/>
                <w:color w:val="201F1E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 para ciência e os devidos encaminhamentos;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240" w:after="24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t-BR" w:bidi="ar-SA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 xml:space="preserve">Deliberação nº 12/2022 CPUA-CAU/PR 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2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eastAsia="Times New Roman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en-US" w:bidi="ar-SA"/>
              </w:rPr>
              <w:t>ATHIS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CPUA-CAUPR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Vandinês Gremaschi Canassa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O conselheiro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VANDINÊS esteve em Mato Grosso do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ul para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dois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dias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do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rimerio de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eminário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ATHIS,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oi apresentado pelo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presidente do C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AUMS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que estão pleiteando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que o arquiteto deveria ser contratado pelo SUS como um agente de saúde,  po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i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s faz parte da saúde da habitação por ser um fator derador de doenças,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no entendimento da concelheria ainda não foi bem estruturado o caminho que vão seguir.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Em seguida o representante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 o CAUBR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de ATHIS, ANTONIO COUTO fal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ou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 sobre as ações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e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onde estão aplicando os 2% da receita. A abordagem que achou mais importante foi a do Rio de Janeiro e da CATIS/SP, se tivermos disposição e comover os Orgãos Públicos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eles acham brechas que podem ser empregados, dessa forma conseguiram fazer 500 casas em Dourados, fabricando tijolos com solo cimento com tecnicas indigenas adapatadas e posterior ao encontro dispuseram a analisar o projeto do banco de materias e orientaram a submeter a prefeitura e camara de ver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adores. Mais um apoio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com expeciência pratica de acesso ao poder publico.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m outro evento a conselheira participou do jantar posse da diretoria da AEAN de Maringa, onde firmou parcerias com varias lideraç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a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s na área de habiração, vendo para 2023 o banco de materiais implantado.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3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TableParagraph"/>
              <w:keepLines/>
              <w:widowControl w:val="false"/>
              <w:suppressAutoHyphens w:val="true"/>
              <w:spacing w:lineRule="exact" w:line="210" w:before="0" w:after="0"/>
              <w:ind w:right="139" w:hanging="0"/>
              <w:jc w:val="both"/>
              <w:rPr/>
            </w:pPr>
            <w:r>
              <w:rPr>
                <w:rStyle w:val="Nfaseforte"/>
                <w:rFonts w:eastAsia="Calibri" w:cs="Arial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Manifestação do CAU/PR Audiência Pública para apresentação do EIA/RIMA da Ponte de Guaratuba</w:t>
            </w:r>
            <w:r>
              <w:rPr>
                <w:rFonts w:eastAsia="Calibri" w:cs="Arial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Walter Gustavo Linzmeyer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Para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conselheiro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GUSTAVO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não é a questão de ter ou não ter a ponte</w:t>
            </w: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, mas os estudos não foram suficiente </w:t>
            </w: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como </w:t>
            </w: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os impactos ambientais, </w:t>
            </w: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urbamos, </w:t>
            </w: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de trafigo  </w:t>
            </w: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e </w:t>
            </w: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na paisagem.  </w:t>
            </w: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Pois ela passa pelo meio do tecido urbano de Matinhos e Guaratuba e não tem acostamento, não tem espaço para ciclovia, não entrado em detalhes. </w:t>
            </w: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Como teve pouco tempo de analisar cada item e não teve tempo para manifestar na primeira audência conseguiu protocolar no segundo dia o qual o presidente protocolou </w:t>
            </w: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>a minuta como oficio.</w:t>
            </w: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>P</w:t>
            </w: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>ara o conselheiro MAUGHAM se  a ponte fosse importante teria sido feita ha mais de 40.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>Para a conselheira VANDINÊS, vários candidatos ao governo prometeram em campanha a construçao da ponte que é um desejo dos moradores da região e da polação que tem casa na Praia.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 xml:space="preserve">O conselherio GUSTAVO </w:t>
            </w:r>
            <w:r>
              <w:rPr>
                <w:rFonts w:eastAsia="MS Mincho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pt-BR" w:eastAsia="ar-SA" w:bidi="ar-SA"/>
              </w:rPr>
              <w:t>apresentou seu relato e voto que será apresentada a plenária.</w:t>
            </w:r>
          </w:p>
          <w:p>
            <w:pPr>
              <w:pStyle w:val="Normal"/>
              <w:widowControl w:val="false"/>
              <w:spacing w:lineRule="auto" w:line="276" w:before="24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DELIBERA: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  <w:tab w:val="left" w:pos="12780" w:leader="none"/>
              </w:tabs>
              <w:spacing w:lineRule="auto" w:line="276" w:before="240" w:after="240"/>
              <w:contextualSpacing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Aprovado por unanimidade o Relatório e Voto do conselheiro WALTER GUSTAVO LINZMEYER sobre a </w:t>
            </w:r>
            <w:r>
              <w:rPr>
                <w:rStyle w:val="Nfaseforte"/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Manifestação do CAU/PR nas Audiências Públicas para apresentação do EIA/RIMA da Ponte de Guaratuba e seus Acesso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  <w:tab w:val="left" w:pos="1418" w:leader="none"/>
              </w:tabs>
              <w:spacing w:lineRule="auto" w:line="276" w:before="240"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Encaminhar para apreciação do Plenário do CAU/PR; 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  <w:tab w:val="left" w:pos="12780" w:leader="none"/>
              </w:tabs>
              <w:suppressAutoHyphens w:val="true"/>
              <w:spacing w:lineRule="auto" w:line="276" w:before="240" w:after="240"/>
              <w:contextualSpacing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Encaminhar esta Deliberação à Presidência do CAU/PR para ciência e os devidos encaminhamentos;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240" w:after="24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t-BR" w:bidi="ar-SA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Deliberação nº 13/2022 CPUA-CAU/PR 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p>
      <w:pPr>
        <w:pStyle w:val="Normal"/>
        <w:shd w:val="clear" w:color="auto" w:fill="BFBFBF" w:themeFill="background1" w:themeFillShade="bf"/>
        <w:jc w:val="center"/>
        <w:rPr>
          <w:rStyle w:val="SubtleEmphasis"/>
          <w:rFonts w:ascii="Times New Roman" w:hAnsi="Times New Roman"/>
          <w:b/>
          <w:b/>
          <w:i w:val="false"/>
          <w:i w:val="false"/>
          <w:sz w:val="20"/>
          <w:szCs w:val="20"/>
        </w:rPr>
      </w:pPr>
      <w:r>
        <w:rPr>
          <w:rStyle w:val="SubtleEmphasis"/>
          <w:rFonts w:ascii="Times New Roman" w:hAnsi="Times New Roman"/>
          <w:b/>
          <w:i w:val="false"/>
          <w:sz w:val="20"/>
          <w:szCs w:val="20"/>
        </w:rPr>
        <w:t>EXTRA PAUTA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both"/>
              <w:rPr>
                <w:rFonts w:ascii="Times New Roman" w:hAnsi="Times New Roman" w:eastAsia="Calibri"/>
                <w:b/>
                <w:b/>
                <w:iCs w:val="false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 w:val="false"/>
                <w:sz w:val="22"/>
                <w:szCs w:val="22"/>
                <w:lang w:eastAsia="en-US"/>
              </w:rPr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ind w:right="139" w:hanging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ind w:right="139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22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sz w:val="22"/>
                <w:szCs w:val="22"/>
                <w:lang w:eastAsia="pt-BR"/>
              </w:rPr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(PR), 12 de dezembro de 2022.</w:t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bCs/>
                <w:color w:val="000000" w:themeColor="text1" w:themeShade="ff" w:themeTint="ff"/>
                <w:kern w:val="0"/>
                <w:sz w:val="22"/>
                <w:szCs w:val="22"/>
                <w:lang w:val="pt-BR" w:eastAsia="pt-BR" w:bidi="ar-SA"/>
              </w:rPr>
              <w:t>WALTER GUSTAVO LINZMEYER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Coordenador CPUA-CAU/PR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Assistente da CPUA-CAU/PR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widowControl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widowControl/>
        <w:jc w:val="lef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                                                                                             </w:t>
      </w:r>
    </w:p>
    <w:p>
      <w:pPr>
        <w:pStyle w:val="Normal"/>
        <w:widowControl/>
        <w:jc w:val="left"/>
        <w:rPr>
          <w:rFonts w:ascii="Times New Roman" w:hAnsi="Times New Roman"/>
          <w:sz w:val="10"/>
          <w:szCs w:val="10"/>
        </w:rPr>
      </w:pPr>
      <w:r>
        <w:rPr/>
      </w:r>
    </w:p>
    <w:p>
      <w:pPr>
        <w:pStyle w:val="Normal"/>
        <w:widowControl/>
        <w:jc w:val="left"/>
        <w:rPr>
          <w:rFonts w:ascii="Times New Roman" w:hAnsi="Times New Roman"/>
          <w:sz w:val="10"/>
          <w:szCs w:val="10"/>
        </w:rPr>
      </w:pPr>
      <w:r>
        <w:rPr/>
      </w:r>
    </w:p>
    <w:p>
      <w:pPr>
        <w:pStyle w:val="Normal"/>
        <w:widowControl/>
        <w:jc w:val="left"/>
        <w:rPr>
          <w:rFonts w:ascii="Times New Roman" w:hAnsi="Times New Roman"/>
          <w:sz w:val="10"/>
          <w:szCs w:val="10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/>
          <w:sz w:val="10"/>
          <w:szCs w:val="10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/>
          <w:sz w:val="10"/>
          <w:szCs w:val="10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/>
          <w:sz w:val="10"/>
          <w:szCs w:val="10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/>
          <w:sz w:val="10"/>
          <w:szCs w:val="10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/>
          <w:sz w:val="10"/>
          <w:szCs w:val="10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</w:t>
      </w:r>
      <w:r>
        <w:rPr>
          <w:rFonts w:eastAsia="Calibri" w:ascii="Times New Roman" w:hAnsi="Times New Roman"/>
          <w:b/>
          <w:bCs/>
          <w:sz w:val="22"/>
        </w:rPr>
        <w:t>11ª REUNIÃO ORDINÁRIA 2022 DA CPUA-CAU/PR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/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/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/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/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  <w:t>Folha de Votação 1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985"/>
        <w:gridCol w:w="1060"/>
        <w:gridCol w:w="2681"/>
        <w:gridCol w:w="338"/>
        <w:gridCol w:w="355"/>
        <w:gridCol w:w="408"/>
        <w:gridCol w:w="481"/>
        <w:gridCol w:w="165"/>
        <w:gridCol w:w="723"/>
        <w:gridCol w:w="879"/>
      </w:tblGrid>
      <w:tr>
        <w:trPr/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19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7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X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"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  <w:r>
              <w:rPr>
                <w:rFonts w:eastAsia="Arial" w:ascii="Times New Roman" w:hAnsi="Times New Roman"/>
                <w:bCs/>
                <w:spacing w:val="4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Antônio Ricardo Nunes Sardo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Histórico da votação: 11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ª REUNIÃO ORDINÁRIA 2022 DA CPUA-CAU/PR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Data: 12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/12/2022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Matéria em votação: aprovação da súmula nº 10.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(2)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Ocorrências: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</w:tr>
    </w:tbl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  <w:t xml:space="preserve">Folha de Votação 2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985"/>
        <w:gridCol w:w="1060"/>
        <w:gridCol w:w="2681"/>
        <w:gridCol w:w="338"/>
        <w:gridCol w:w="355"/>
        <w:gridCol w:w="408"/>
        <w:gridCol w:w="481"/>
        <w:gridCol w:w="165"/>
        <w:gridCol w:w="723"/>
        <w:gridCol w:w="879"/>
      </w:tblGrid>
      <w:tr>
        <w:trPr/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19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7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X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"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  <w:r>
              <w:rPr>
                <w:rFonts w:eastAsia="Arial" w:ascii="Times New Roman" w:hAnsi="Times New Roman"/>
                <w:bCs/>
                <w:spacing w:val="4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Antônio Ricardo Nunes Sardo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Histórico da votação: 11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ª REUNIÃO ORDINÁRIA 2022 DA CPUA-CAU/PR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22/12/2022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 xml:space="preserve">Matéria em votação: </w:t>
            </w:r>
            <w:r>
              <w:rPr>
                <w:rFonts w:eastAsia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INDICAR PARA O MINISTRO DAS CIDADES um arquiteto e urbanista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(2)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Ocorrências: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</w:tr>
    </w:tbl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/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  <w:t xml:space="preserve">Folha de Votação 3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985"/>
        <w:gridCol w:w="1060"/>
        <w:gridCol w:w="2681"/>
        <w:gridCol w:w="338"/>
        <w:gridCol w:w="355"/>
        <w:gridCol w:w="408"/>
        <w:gridCol w:w="481"/>
        <w:gridCol w:w="165"/>
        <w:gridCol w:w="723"/>
        <w:gridCol w:w="879"/>
      </w:tblGrid>
      <w:tr>
        <w:trPr/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19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7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X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"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  <w:r>
              <w:rPr>
                <w:rFonts w:eastAsia="Arial" w:ascii="Times New Roman" w:hAnsi="Times New Roman"/>
                <w:bCs/>
                <w:spacing w:val="4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Antônio Ricardo Nunes Sardo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Histórico da votação: 11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ª REUNIÃO ORDINÁRIA 2022 DA CPUA-CAU/PR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22/12/2022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 xml:space="preserve">Matéria em votação: </w:t>
            </w:r>
            <w:r>
              <w:rPr>
                <w:rStyle w:val="Nfaseforte"/>
                <w:rFonts w:eastAsia="Calibri" w:cs="Arial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  <w:t>Manifestação do CAU/PR Audiência Pública para apresentação do EIA/RIMA da Ponte de Guaratuba</w:t>
            </w:r>
            <w:r>
              <w:rPr>
                <w:rFonts w:eastAsia="Calibri" w:cs="Arial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(2)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</w:tr>
    </w:tbl>
    <w:p>
      <w:pPr>
        <w:pStyle w:val="Normal"/>
        <w:rPr>
          <w:rFonts w:ascii="Times New Roman" w:hAnsi="Times New Roman"/>
          <w:sz w:val="10"/>
          <w:szCs w:val="10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701" w:right="1134" w:gutter="0" w:header="709" w:top="1418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onsolas">
    <w:charset w:val="01"/>
    <w:family w:val="swiss"/>
    <w:pitch w:val="default"/>
  </w:font>
  <w:font w:name="OpenSymbol">
    <w:altName w:val="Arial Unicode MS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 • 80045-360 • Curitiba/PR • +55(41)3218.0200 • caupr.gov.br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11/2022 da CPUA-CAU/PR, de 12 de dezembro de 2022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5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5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 • 80045-360 • Curitiba/PR • +55(41)3218.0200 • caupr.gov.br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11/2022 da CPUA-CAU/PR, de 12 de dezembro de 2022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5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5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2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 w:val="true"/>
      <w:keepLines/>
      <w:widowControl/>
      <w:suppressAutoHyphens w:val="false"/>
      <w:spacing w:before="0" w:after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SubtleEmphasis">
    <w:name w:val="Subtle Emphasis"/>
    <w:qFormat/>
    <w:rsid w:val="00e05f2f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ae47a5"/>
    <w:rPr>
      <w:color w:val="954F72" w:themeColor="followedHyperlink"/>
      <w:u w:val="single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NoSpacing">
    <w:name w:val="No Spacing"/>
    <w:uiPriority w:val="1"/>
    <w:qFormat/>
    <w:rsid w:val="00dc64db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false"/>
    </w:pPr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ableParagraph">
    <w:name w:val="Table Paragraph"/>
    <w:basedOn w:val="Normal"/>
    <w:qFormat/>
    <w:pPr>
      <w:ind w:left="108" w:hanging="0"/>
    </w:pPr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3B1B-3DD6-48B5-8525-F49D5509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Lourdes Vasselek</Manager>
  <TotalTime>510</TotalTime>
  <Application>LibreOffice/7.2.2.2$Windows_X86_64 LibreOffice_project/02b2acce88a210515b4a5bb2e46cbfb63fe97d56</Application>
  <AppVersion>15.0000</AppVersion>
  <Pages>5</Pages>
  <Words>1213</Words>
  <Characters>6589</Characters>
  <CharactersWithSpaces>8271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2022-06-26T18:40:00Z</dcterms:created>
  <dc:creator>Walter Gustavo Linzmeyer</dc:creator>
  <dc:description/>
  <cp:keywords>CAU/PR CAU/PR CAU/PR CAU/PR CAU/PR CAU/PR CAU/PR CAU/PR CAU/PR CAU/PR CAU/PR CAU/PR CAU/PR CAU/PR CAU/PR CAU/PR CAU/PR CAU/PR CAU/PR</cp:keywords>
  <dc:language>pt-BR</dc:language>
  <cp:lastModifiedBy/>
  <cp:lastPrinted>2021-05-03T12:37:00Z</cp:lastPrinted>
  <dcterms:modified xsi:type="dcterms:W3CDTF">2022-12-20T15:03:25Z</dcterms:modified>
  <cp:revision>60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