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3E8BAE2" w:rsidR="00032FF0" w:rsidRPr="00317AF7" w:rsidRDefault="00317AF7" w:rsidP="008073F6">
            <w:pPr>
              <w:keepLines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317AF7">
              <w:rPr>
                <w:rFonts w:ascii="Times New Roman" w:hAnsi="Times New Roman"/>
                <w:iCs/>
                <w:szCs w:val="24"/>
              </w:rPr>
              <w:t xml:space="preserve">Protocolo SICCAU nº </w:t>
            </w:r>
            <w:r w:rsidR="008073F6">
              <w:rPr>
                <w:rFonts w:ascii="Times New Roman" w:hAnsi="Times New Roman"/>
                <w:iCs/>
                <w:szCs w:val="24"/>
              </w:rPr>
              <w:t>1071303/2020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B42ABC0" w:rsidR="00963637" w:rsidRPr="00317AF7" w:rsidRDefault="008073F6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Huesli Jackson Pires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1E9C4DD" w:rsidR="00032FF0" w:rsidRPr="00317AF7" w:rsidRDefault="008073F6" w:rsidP="00547AA6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Atribuição para atividades na área de fundações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4F97F69" w:rsidR="00032FF0" w:rsidRPr="000D0D3E" w:rsidRDefault="00032FF0" w:rsidP="008073F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06</w:t>
            </w:r>
            <w:r w:rsidR="008073F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7777777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A COMISSÃO DE EXERCÍCIO PROFISSIONAL (CEP-CAU/PR), reunida extraordinariamente de forma virtual no dia 04 de maio de 2020, no uso das competências que lhe conferem o Regimento Interno do CAU/PR, após análise do assunto em epígrafe, e</w:t>
      </w:r>
    </w:p>
    <w:p w14:paraId="718DA5EB" w14:textId="77777777" w:rsidR="008073F6" w:rsidRDefault="008073F6" w:rsidP="008073F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0A789C">
        <w:rPr>
          <w:rFonts w:ascii="Times New Roman" w:hAnsi="Times New Roman" w:cs="Times New Roman"/>
          <w:szCs w:val="24"/>
        </w:rPr>
        <w:t>Os campos</w:t>
      </w:r>
      <w:r w:rsidRPr="000A789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  <w:r w:rsidRPr="00EC07D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”</w:t>
      </w:r>
    </w:p>
    <w:p w14:paraId="62231FE1" w14:textId="61394BE9" w:rsidR="008073F6" w:rsidRDefault="008073F6" w:rsidP="008073F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Considerando a Deliberação Nº </w:t>
      </w:r>
      <w:r w:rsidR="002030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70/2018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– CEP-CAU/BR, que </w:t>
      </w:r>
      <w:r w:rsidR="002030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r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atifica o entendimento quanto as</w:t>
      </w:r>
      <w:r w:rsidR="002030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atividades relacionadas às fundações profundas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estaqueamento, sondagem do solo e outras correlatas;</w:t>
      </w:r>
    </w:p>
    <w:p w14:paraId="45FFBDBD" w14:textId="1FA7145D" w:rsidR="0024684B" w:rsidRPr="00A81583" w:rsidRDefault="0024684B" w:rsidP="008073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Portaria Normativa nº 12, de 31 de janeiro de 2013, que dispõe sobre a caracterização da atividade técnica de Sistemas Construtivos e Estruturais;</w:t>
      </w:r>
    </w:p>
    <w:p w14:paraId="788AF026" w14:textId="718A49AC" w:rsidR="008073F6" w:rsidRDefault="008073F6" w:rsidP="008073F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Considerando a Deliberação Nº 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005/2020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– CEP-CAU/BR, que 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informa que irá debater e firmar posicionamento acerca das questões relativas às atividades, atribuições e campos de atuação dos arquitetos e urbanistas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</w:t>
      </w:r>
    </w:p>
    <w:p w14:paraId="052BD3D9" w14:textId="07EEFA95" w:rsidR="008073F6" w:rsidRDefault="008073F6" w:rsidP="008073F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o questionamento d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Arquitet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 Urbanista </w:t>
      </w:r>
      <w:r w:rsidR="0024684B">
        <w:rPr>
          <w:rFonts w:ascii="Times New Roman" w:hAnsi="Times New Roman"/>
          <w:szCs w:val="24"/>
        </w:rPr>
        <w:t>Huesli Jackson Pires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CAU Nº A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145150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-</w:t>
      </w:r>
      <w:r w:rsidR="0024684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2,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enviado por e-mail ao Setor de Fiscalização do CAU/PR,</w:t>
      </w:r>
    </w:p>
    <w:p w14:paraId="7D6AF0FD" w14:textId="77777777" w:rsidR="008073F6" w:rsidRPr="001B6946" w:rsidRDefault="008073F6" w:rsidP="008073F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6A166C26" w14:textId="0575D340" w:rsidR="003B12DA" w:rsidRDefault="003B12DA" w:rsidP="008073F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C1BBD0F" w14:textId="4DB0EE77" w:rsidR="0020305D" w:rsidRDefault="0020305D" w:rsidP="00F06FA2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20305D">
        <w:rPr>
          <w:rFonts w:ascii="Times New Roman" w:hAnsi="Times New Roman"/>
        </w:rPr>
        <w:t xml:space="preserve">Solicitar à CEP-CAU/BR manifestação em relação às atividades de </w:t>
      </w:r>
      <w:r w:rsidR="0024684B">
        <w:rPr>
          <w:rFonts w:ascii="Times New Roman" w:hAnsi="Times New Roman"/>
        </w:rPr>
        <w:t>fundações</w:t>
      </w:r>
      <w:r w:rsidR="00AB457D">
        <w:rPr>
          <w:rFonts w:ascii="Times New Roman" w:hAnsi="Times New Roman"/>
        </w:rPr>
        <w:t>,</w:t>
      </w:r>
      <w:r w:rsidRPr="0020305D">
        <w:rPr>
          <w:rFonts w:ascii="Times New Roman" w:hAnsi="Times New Roman"/>
        </w:rPr>
        <w:t xml:space="preserve"> considerando o previsto na Resolução Confea nº 1.010, de 22 de agosto de 2005, em seu anexo II, no qual estão discriminad</w:t>
      </w:r>
      <w:r w:rsidR="00D9441F">
        <w:rPr>
          <w:rFonts w:ascii="Times New Roman" w:hAnsi="Times New Roman"/>
        </w:rPr>
        <w:t>o</w:t>
      </w:r>
      <w:r w:rsidRPr="0020305D">
        <w:rPr>
          <w:rFonts w:ascii="Times New Roman" w:hAnsi="Times New Roman"/>
        </w:rPr>
        <w:t xml:space="preserve">s </w:t>
      </w:r>
      <w:r w:rsidR="00D9441F">
        <w:rPr>
          <w:rFonts w:ascii="Times New Roman" w:hAnsi="Times New Roman"/>
        </w:rPr>
        <w:t xml:space="preserve">as </w:t>
      </w:r>
      <w:r w:rsidRPr="0020305D">
        <w:rPr>
          <w:rFonts w:ascii="Times New Roman" w:hAnsi="Times New Roman"/>
        </w:rPr>
        <w:t xml:space="preserve">atividades e </w:t>
      </w:r>
      <w:r w:rsidR="00D9441F">
        <w:rPr>
          <w:rFonts w:ascii="Times New Roman" w:hAnsi="Times New Roman"/>
        </w:rPr>
        <w:t xml:space="preserve">os </w:t>
      </w:r>
      <w:bookmarkStart w:id="0" w:name="_GoBack"/>
      <w:bookmarkEnd w:id="0"/>
      <w:r w:rsidRPr="0020305D">
        <w:rPr>
          <w:rFonts w:ascii="Times New Roman" w:hAnsi="Times New Roman"/>
        </w:rPr>
        <w:t>campos de atuação dos profissionais da arquitetura e urbanismo e da engenharia;</w:t>
      </w:r>
    </w:p>
    <w:p w14:paraId="3494BD14" w14:textId="1F309E53" w:rsidR="00963637" w:rsidRPr="0020305D" w:rsidRDefault="00963637" w:rsidP="00F06FA2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20305D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 e RAFAEL ZAMUNER e 01 ausência da conselheira CRISTIANE BICALHO DE LACERDA</w:t>
      </w:r>
      <w:r w:rsidRPr="00DA4061">
        <w:rPr>
          <w:rFonts w:ascii="Times New Roman" w:hAnsi="Times New Roman"/>
        </w:rPr>
        <w:t>.</w:t>
      </w:r>
    </w:p>
    <w:p w14:paraId="47B00546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2CCDD08" w14:textId="77777777" w:rsidR="00AB457D" w:rsidRDefault="00AB457D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C0D3CA" w14:textId="77777777" w:rsidR="00AB457D" w:rsidRDefault="00AB457D" w:rsidP="00AB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0489C2A1" w14:textId="77777777" w:rsidR="00AB457D" w:rsidRPr="00A81583" w:rsidRDefault="00AB457D" w:rsidP="00AB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FC5096" w14:textId="77777777" w:rsidR="00AB457D" w:rsidRDefault="00AB457D" w:rsidP="00A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AC69E0" w14:textId="77777777" w:rsidR="00AB457D" w:rsidRDefault="00AB457D" w:rsidP="00A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E6698FA" w14:textId="77777777" w:rsidR="00AB457D" w:rsidRDefault="00AB457D" w:rsidP="00A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48536D" w14:textId="77777777" w:rsidR="00AB457D" w:rsidRPr="00A81583" w:rsidRDefault="00AB457D" w:rsidP="00AB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107B085" w14:textId="77777777" w:rsidR="00AB457D" w:rsidRPr="00A81583" w:rsidRDefault="00AB457D" w:rsidP="00AB45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5F0BC857" w14:textId="77777777" w:rsidR="00AB457D" w:rsidRDefault="00AB457D" w:rsidP="00AB457D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63F04AA" w14:textId="77777777" w:rsidR="00AB457D" w:rsidRPr="00A81583" w:rsidRDefault="00AB457D" w:rsidP="00AB45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AA2C02E" w14:textId="77777777" w:rsidR="00AB457D" w:rsidRPr="0011517C" w:rsidRDefault="00AB457D" w:rsidP="00AB457D">
      <w:pPr>
        <w:tabs>
          <w:tab w:val="left" w:pos="4820"/>
        </w:tabs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5FEB45D3" w14:textId="77777777" w:rsidR="00AB457D" w:rsidRPr="00DA4061" w:rsidRDefault="00AB457D" w:rsidP="00AB45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5FE2A583" w14:textId="77777777" w:rsidR="00AB457D" w:rsidRPr="003311A7" w:rsidRDefault="00AB457D" w:rsidP="00AB457D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4F48815" w14:textId="77777777" w:rsidR="00AB457D" w:rsidRPr="00032FF0" w:rsidRDefault="00AB457D" w:rsidP="00AB457D"/>
    <w:p w14:paraId="041539EA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D5B86E5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7B52E491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61785AA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F6F8F51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5D9F7FC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060B450F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79650100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2E451D0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7C23794B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23093F77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4D477EC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56095B58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40022B2A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2E3ECF30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3A9F319D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083F3153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7B53F618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5F14F8B8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42968A61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2447756B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64705CF7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45AB5A6E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59B8FA9D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28732BE8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6A6266EA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5C13171E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636ABA41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10784015" w14:textId="77777777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both"/>
      </w:pPr>
    </w:p>
    <w:p w14:paraId="703F31C1" w14:textId="055CC3B6" w:rsidR="00AB457D" w:rsidRDefault="00AB457D" w:rsidP="00AB457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2"/>
          <w:szCs w:val="22"/>
        </w:rPr>
      </w:pPr>
      <w:r w:rsidRPr="00CC417B">
        <w:rPr>
          <w:rFonts w:ascii="Times New Roman" w:hAnsi="Times New Roman"/>
          <w:sz w:val="22"/>
          <w:szCs w:val="22"/>
        </w:rPr>
        <w:t xml:space="preserve">DELIBERAÇÃO </w:t>
      </w:r>
      <w:r w:rsidRPr="00CC417B">
        <w:rPr>
          <w:rFonts w:ascii="Times New Roman" w:hAnsi="Times New Roman"/>
          <w:color w:val="000000" w:themeColor="text1"/>
          <w:sz w:val="22"/>
          <w:szCs w:val="22"/>
        </w:rPr>
        <w:t>Nº 06</w:t>
      </w:r>
      <w:r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CC417B">
        <w:rPr>
          <w:rFonts w:ascii="Times New Roman" w:hAnsi="Times New Roman"/>
          <w:color w:val="000000" w:themeColor="text1"/>
          <w:sz w:val="22"/>
          <w:szCs w:val="22"/>
        </w:rPr>
        <w:t xml:space="preserve">/2020 </w:t>
      </w:r>
      <w:r w:rsidRPr="00CC417B">
        <w:rPr>
          <w:rFonts w:ascii="Times New Roman" w:hAnsi="Times New Roman"/>
          <w:sz w:val="22"/>
          <w:szCs w:val="22"/>
        </w:rPr>
        <w:t>– CEP-CAU/PR</w:t>
      </w:r>
    </w:p>
    <w:p w14:paraId="4364A7EF" w14:textId="77777777" w:rsidR="00AB457D" w:rsidRPr="00CC417B" w:rsidRDefault="00AB457D" w:rsidP="00AB457D">
      <w:pPr>
        <w:spacing w:after="160"/>
        <w:ind w:left="0" w:firstLine="0"/>
        <w:jc w:val="left"/>
        <w:rPr>
          <w:sz w:val="22"/>
        </w:rPr>
      </w:pPr>
    </w:p>
    <w:p w14:paraId="78111DC8" w14:textId="1CD5504E" w:rsidR="008F097C" w:rsidRPr="00032FF0" w:rsidRDefault="008F097C" w:rsidP="00AB457D">
      <w:pPr>
        <w:autoSpaceDE w:val="0"/>
        <w:autoSpaceDN w:val="0"/>
        <w:adjustRightInd w:val="0"/>
        <w:spacing w:after="0" w:line="240" w:lineRule="auto"/>
        <w:jc w:val="center"/>
      </w:pP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944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9441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19A"/>
    <w:multiLevelType w:val="hybridMultilevel"/>
    <w:tmpl w:val="F3D84A16"/>
    <w:lvl w:ilvl="0" w:tplc="0416000F">
      <w:start w:val="1"/>
      <w:numFmt w:val="decimal"/>
      <w:lvlText w:val="%1.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72A9"/>
    <w:multiLevelType w:val="hybridMultilevel"/>
    <w:tmpl w:val="1B16848E"/>
    <w:lvl w:ilvl="0" w:tplc="CE40FB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B30F2"/>
    <w:rsid w:val="000B497E"/>
    <w:rsid w:val="0012093C"/>
    <w:rsid w:val="00121413"/>
    <w:rsid w:val="00137C4A"/>
    <w:rsid w:val="0020305D"/>
    <w:rsid w:val="00227695"/>
    <w:rsid w:val="0024684B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4444D6"/>
    <w:rsid w:val="00480A6C"/>
    <w:rsid w:val="004A195E"/>
    <w:rsid w:val="004E3E6E"/>
    <w:rsid w:val="00547AA6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33182"/>
    <w:rsid w:val="00740677"/>
    <w:rsid w:val="007578AE"/>
    <w:rsid w:val="007821BD"/>
    <w:rsid w:val="0078751A"/>
    <w:rsid w:val="007D7A1E"/>
    <w:rsid w:val="008073F6"/>
    <w:rsid w:val="00810291"/>
    <w:rsid w:val="008728CF"/>
    <w:rsid w:val="0089699B"/>
    <w:rsid w:val="008F097C"/>
    <w:rsid w:val="008F66DA"/>
    <w:rsid w:val="00963637"/>
    <w:rsid w:val="00985306"/>
    <w:rsid w:val="00990FA4"/>
    <w:rsid w:val="009C6F7A"/>
    <w:rsid w:val="00A222E7"/>
    <w:rsid w:val="00AB457D"/>
    <w:rsid w:val="00B123F1"/>
    <w:rsid w:val="00B1747A"/>
    <w:rsid w:val="00B21027"/>
    <w:rsid w:val="00B21D35"/>
    <w:rsid w:val="00B22E8C"/>
    <w:rsid w:val="00B24C18"/>
    <w:rsid w:val="00BA505F"/>
    <w:rsid w:val="00C46DF3"/>
    <w:rsid w:val="00D02308"/>
    <w:rsid w:val="00D175A9"/>
    <w:rsid w:val="00D334E1"/>
    <w:rsid w:val="00D9441F"/>
    <w:rsid w:val="00DF3F0A"/>
    <w:rsid w:val="00E37AF4"/>
    <w:rsid w:val="00E4743A"/>
    <w:rsid w:val="00E504B6"/>
    <w:rsid w:val="00E55053"/>
    <w:rsid w:val="00E77068"/>
    <w:rsid w:val="00EC07D1"/>
    <w:rsid w:val="00F43340"/>
    <w:rsid w:val="00F53C7D"/>
    <w:rsid w:val="00F6760C"/>
    <w:rsid w:val="00F86CDF"/>
    <w:rsid w:val="00FA3A16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4</cp:revision>
  <cp:lastPrinted>2018-12-20T20:52:00Z</cp:lastPrinted>
  <dcterms:created xsi:type="dcterms:W3CDTF">2020-07-29T16:43:00Z</dcterms:created>
  <dcterms:modified xsi:type="dcterms:W3CDTF">2020-07-29T17:02:00Z</dcterms:modified>
</cp:coreProperties>
</file>