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5D35C2F" w:rsidR="00032FF0" w:rsidRPr="00317AF7" w:rsidRDefault="00A24B66" w:rsidP="00A24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1099898/2020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1EE923D3" w:rsidR="00032FF0" w:rsidRPr="00A24B66" w:rsidRDefault="00A24B66" w:rsidP="00D8708A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24B66">
              <w:rPr>
                <w:rFonts w:ascii="Times New Roman" w:hAnsi="Times New Roman"/>
              </w:rPr>
              <w:t>Sugestão de alteração de procedimento de cancelamento de registro profissional por solicitação de desligamento, considerando a necessidade de comprovar e reforçar a responsabilização do requerente sobre o que declarou.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6CFAE74" w:rsidR="00032FF0" w:rsidRPr="000D0D3E" w:rsidRDefault="00032FF0" w:rsidP="00A24B6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F80C4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14</w:t>
            </w:r>
            <w:r w:rsidR="00A24B6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5679905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F80C41"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F80C41">
        <w:rPr>
          <w:rFonts w:ascii="Times New Roman" w:hAnsi="Times New Roman" w:cs="Times New Roman"/>
          <w:szCs w:val="24"/>
        </w:rPr>
        <w:t>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BB83FED" w14:textId="30538D26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o disposto no artigo 98 do Regimento Interno do CAU/PR, que indica que compete à Comissão de Exercício Profissional do CAU/PR, entre outros: </w:t>
      </w:r>
      <w:r>
        <w:rPr>
          <w:rFonts w:ascii="Times New Roman" w:hAnsi="Times New Roman" w:cs="Times New Roman"/>
          <w:szCs w:val="24"/>
        </w:rPr>
        <w:t>“</w:t>
      </w:r>
      <w:r w:rsidRPr="00F80C41">
        <w:rPr>
          <w:rFonts w:ascii="Times New Roman" w:hAnsi="Times New Roman" w:cs="Times New Roman"/>
          <w:szCs w:val="24"/>
        </w:rPr>
        <w:t>I. propor, apreciar e deliberar sobre questionamentos a atos já normatizados pelo CAU/BR referentes a:</w:t>
      </w:r>
      <w:r>
        <w:rPr>
          <w:rFonts w:ascii="Times New Roman" w:hAnsi="Times New Roman" w:cs="Times New Roman"/>
          <w:szCs w:val="24"/>
        </w:rPr>
        <w:t xml:space="preserve"> </w:t>
      </w:r>
      <w:r w:rsidR="00AD745D">
        <w:rPr>
          <w:rFonts w:ascii="Times New Roman" w:hAnsi="Times New Roman" w:cs="Times New Roman"/>
          <w:szCs w:val="24"/>
        </w:rPr>
        <w:t>(...);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b) </w:t>
      </w:r>
      <w:r w:rsidRPr="00F80C4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alterações</w:t>
      </w:r>
      <w:r w:rsidRPr="00F80C41">
        <w:rPr>
          <w:rFonts w:ascii="Times New Roman" w:hAnsi="Times New Roman" w:cs="Times New Roman"/>
          <w:szCs w:val="24"/>
        </w:rPr>
        <w:t xml:space="preserve"> de registros </w:t>
      </w:r>
      <w:r w:rsidR="00AD745D" w:rsidRPr="00F80C41">
        <w:rPr>
          <w:rFonts w:ascii="Times New Roman" w:hAnsi="Times New Roman" w:cs="Times New Roman"/>
          <w:szCs w:val="24"/>
        </w:rPr>
        <w:t>profissionais;</w:t>
      </w:r>
      <w:r w:rsidR="00AD745D">
        <w:rPr>
          <w:rFonts w:ascii="Times New Roman" w:hAnsi="Times New Roman" w:cs="Times New Roman"/>
          <w:szCs w:val="24"/>
        </w:rPr>
        <w:t xml:space="preserve"> ”</w:t>
      </w:r>
    </w:p>
    <w:p w14:paraId="0DC8C4DD" w14:textId="707FBE85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>Considerando a Lei 12.378/201</w:t>
      </w:r>
      <w:r>
        <w:rPr>
          <w:rFonts w:ascii="Times New Roman" w:hAnsi="Times New Roman" w:cs="Times New Roman"/>
          <w:szCs w:val="24"/>
        </w:rPr>
        <w:t>0, que prevê em seu artigo 7º que “</w:t>
      </w:r>
      <w:r w:rsidRPr="00F80C41">
        <w:rPr>
          <w:rFonts w:ascii="Times New Roman" w:hAnsi="Times New Roman" w:cs="Times New Roman"/>
          <w:szCs w:val="24"/>
        </w:rPr>
        <w:t>Exerce ilegalmente a profissão de arquiteto e urbanista a pessoa física ou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jurídica que realizar atos ou prestar serviços, públicos ou privados, privativos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dos profissionais de que trata esta Lei ou, ainda, que, mesmo não realizando atos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privativos, se apresenta como arquiteto e urbanista ou como pessoa jurídica que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atue na área de arquitetura e urbanismo sem registro no </w:t>
      </w:r>
      <w:r w:rsidR="00AD745D" w:rsidRPr="00F80C41">
        <w:rPr>
          <w:rFonts w:ascii="Times New Roman" w:hAnsi="Times New Roman" w:cs="Times New Roman"/>
          <w:szCs w:val="24"/>
        </w:rPr>
        <w:t>CAU</w:t>
      </w:r>
      <w:r w:rsidR="00AD745D">
        <w:rPr>
          <w:rFonts w:ascii="Times New Roman" w:hAnsi="Times New Roman" w:cs="Times New Roman"/>
          <w:szCs w:val="24"/>
        </w:rPr>
        <w:t>. ”</w:t>
      </w:r>
    </w:p>
    <w:p w14:paraId="62AD914F" w14:textId="3D67479E" w:rsidR="00F80C41" w:rsidRPr="00F80C41" w:rsidRDefault="00F80C41" w:rsidP="00AD74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a Resolução n° 167 que dispõe em seu artigo </w:t>
      </w:r>
      <w:r w:rsidR="00AD745D">
        <w:rPr>
          <w:rFonts w:ascii="Times New Roman" w:hAnsi="Times New Roman" w:cs="Times New Roman"/>
          <w:szCs w:val="24"/>
        </w:rPr>
        <w:t xml:space="preserve">14 </w:t>
      </w:r>
      <w:r w:rsidRPr="00F80C41">
        <w:rPr>
          <w:rFonts w:ascii="Times New Roman" w:hAnsi="Times New Roman" w:cs="Times New Roman"/>
          <w:szCs w:val="24"/>
        </w:rPr>
        <w:t>que “</w:t>
      </w:r>
      <w:r w:rsidR="00AD745D" w:rsidRPr="00AD745D">
        <w:rPr>
          <w:rFonts w:ascii="Times New Roman" w:hAnsi="Times New Roman" w:cs="Times New Roman"/>
          <w:szCs w:val="24"/>
        </w:rPr>
        <w:t>O pedido de desligamento do CAU, disposto no inciso I do art. 13, é facultado ao profissional que não pretende exercer a profissão e deseja se desvincular do Conselho, desde que atendidas as seguintes condições: 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 II – Não constar em processo fiscalizatório e/ou ético-disciplinar em tramitação nos CAU/UF ou no CAU/BR; III – Não possuir Registro de Responsabilidade Técnica (RRT) sem a devida baixa no CAU; e IV – Efetuar a devolução da Carteira de Identificação Profissional do CAU, caso a possua. § 1º Em conformidade com o art. 53 da Lei nº 12.378, de 2010, a existência de dívidas pendentes não obsta o desligamento do CAU. § 2º O pedido de desligamento do CAU, com consequente cancelamento do registro, não extingue as dívidas do arquiteto e urbanista com o CAU, as quais serão cobradas pelo CAU/UF competente pelas vias administrativas e/ou judiciais, conforme normativos específicos do CAU/BR acerca de anuidades e cobrança de valores.</w:t>
      </w:r>
      <w:r w:rsidR="00AD745D">
        <w:rPr>
          <w:rFonts w:ascii="Times New Roman" w:hAnsi="Times New Roman" w:cs="Times New Roman"/>
          <w:szCs w:val="24"/>
        </w:rPr>
        <w:t xml:space="preserve"> ”</w:t>
      </w:r>
    </w:p>
    <w:p w14:paraId="7CB9CA78" w14:textId="3D96CD08" w:rsidR="00F80C41" w:rsidRPr="00DA3773" w:rsidRDefault="00F80C41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A3773">
        <w:rPr>
          <w:rFonts w:ascii="Times New Roman" w:hAnsi="Times New Roman" w:cs="Times New Roman"/>
          <w:szCs w:val="24"/>
        </w:rPr>
        <w:t>Considerando a necessidade de comprovar e reforçar a responsabilização do requerente sobre o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que declarou;</w:t>
      </w:r>
    </w:p>
    <w:p w14:paraId="5E903755" w14:textId="7E59B6C9" w:rsidR="00F80C41" w:rsidRPr="00DA3773" w:rsidRDefault="00DA3773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sugestões da </w:t>
      </w:r>
      <w:r w:rsidR="00F80C41" w:rsidRPr="00DA3773">
        <w:rPr>
          <w:rFonts w:ascii="Times New Roman" w:hAnsi="Times New Roman" w:cs="Times New Roman"/>
          <w:szCs w:val="24"/>
        </w:rPr>
        <w:t>Gerência Técnica de Atendimento e Fiscalização</w:t>
      </w:r>
      <w:r>
        <w:rPr>
          <w:rFonts w:ascii="Times New Roman" w:hAnsi="Times New Roman" w:cs="Times New Roman"/>
          <w:szCs w:val="24"/>
        </w:rPr>
        <w:t xml:space="preserve">, assim como modelo de declaração </w:t>
      </w:r>
      <w:r w:rsidR="00AD745D">
        <w:rPr>
          <w:rFonts w:ascii="Times New Roman" w:hAnsi="Times New Roman" w:cs="Times New Roman"/>
          <w:szCs w:val="24"/>
        </w:rPr>
        <w:t xml:space="preserve">proposto </w:t>
      </w:r>
      <w:r>
        <w:rPr>
          <w:rFonts w:ascii="Times New Roman" w:hAnsi="Times New Roman" w:cs="Times New Roman"/>
          <w:szCs w:val="24"/>
        </w:rPr>
        <w:t>a</w:t>
      </w:r>
      <w:r w:rsidR="00402AB4">
        <w:rPr>
          <w:rFonts w:ascii="Times New Roman" w:hAnsi="Times New Roman" w:cs="Times New Roman"/>
          <w:szCs w:val="24"/>
        </w:rPr>
        <w:t>nex</w:t>
      </w:r>
      <w:bookmarkStart w:id="0" w:name="_GoBack"/>
      <w:bookmarkEnd w:id="0"/>
      <w:r w:rsidR="00892838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ao protocolo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3CDF2E56" w:rsidR="000A086A" w:rsidRDefault="00A24B66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430C6F">
        <w:rPr>
          <w:rFonts w:ascii="Times New Roman" w:eastAsia="Calibri" w:hAnsi="Times New Roman"/>
          <w:bCs/>
          <w:lang w:eastAsia="en-US"/>
        </w:rPr>
        <w:t>Aprovar sugest</w:t>
      </w:r>
      <w:r w:rsidR="00AD745D">
        <w:rPr>
          <w:rFonts w:ascii="Times New Roman" w:eastAsia="Calibri" w:hAnsi="Times New Roman"/>
          <w:bCs/>
          <w:lang w:eastAsia="en-US"/>
        </w:rPr>
        <w:t>ão</w:t>
      </w:r>
      <w:r w:rsidRPr="00430C6F">
        <w:rPr>
          <w:rFonts w:ascii="Times New Roman" w:eastAsia="Calibri" w:hAnsi="Times New Roman"/>
          <w:bCs/>
          <w:lang w:eastAsia="en-US"/>
        </w:rPr>
        <w:t xml:space="preserve"> de alteração de procedimento de </w:t>
      </w:r>
      <w:r w:rsidRPr="00430C6F">
        <w:rPr>
          <w:rFonts w:ascii="Times New Roman" w:hAnsi="Times New Roman"/>
        </w:rPr>
        <w:t>cancelamento de registro profissional por solicitação de desligamento</w:t>
      </w:r>
      <w:r w:rsidR="00F80C41">
        <w:rPr>
          <w:rFonts w:ascii="Times New Roman" w:eastAsia="Calibri" w:hAnsi="Times New Roman"/>
          <w:bCs/>
          <w:lang w:eastAsia="en-US"/>
        </w:rPr>
        <w:t xml:space="preserve">, assim como modelo de declaração </w:t>
      </w:r>
      <w:r w:rsidR="00DA3773">
        <w:rPr>
          <w:rFonts w:ascii="Times New Roman" w:eastAsia="Calibri" w:hAnsi="Times New Roman"/>
          <w:bCs/>
          <w:lang w:eastAsia="en-US"/>
        </w:rPr>
        <w:t>proposto</w:t>
      </w:r>
      <w:r w:rsidR="00E0667B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67E0D1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80C41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</w:t>
      </w:r>
      <w:r w:rsidR="00F80C41">
        <w:rPr>
          <w:rFonts w:ascii="Times New Roman" w:hAnsi="Times New Roman"/>
        </w:rPr>
        <w:t xml:space="preserve"> RAFAEL ZAMUNER, e 01 ausência do conselheiro CLAUDIO FORTE MAIOLINO</w:t>
      </w: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300EE7A2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80C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80C41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147FF032" w14:textId="77777777" w:rsidR="00892838" w:rsidRDefault="00892838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8C7F14" w14:textId="77777777" w:rsidR="00DA3773" w:rsidRPr="00A81583" w:rsidRDefault="00DA3773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892838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892838">
      <w:pPr>
        <w:tabs>
          <w:tab w:val="left" w:pos="4820"/>
        </w:tabs>
        <w:spacing w:line="60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02AB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02AB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02AB4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612610"/>
    <w:rsid w:val="00613D43"/>
    <w:rsid w:val="006270B4"/>
    <w:rsid w:val="0066049C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2838"/>
    <w:rsid w:val="0089699B"/>
    <w:rsid w:val="008F097C"/>
    <w:rsid w:val="008F66DA"/>
    <w:rsid w:val="00945CAF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24B66"/>
    <w:rsid w:val="00AD745D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074D"/>
    <w:rsid w:val="00C46DF3"/>
    <w:rsid w:val="00C933D4"/>
    <w:rsid w:val="00CA6B90"/>
    <w:rsid w:val="00CB412F"/>
    <w:rsid w:val="00CF4B96"/>
    <w:rsid w:val="00D02308"/>
    <w:rsid w:val="00D175A9"/>
    <w:rsid w:val="00D73D94"/>
    <w:rsid w:val="00D8708A"/>
    <w:rsid w:val="00DA3773"/>
    <w:rsid w:val="00DF3F0A"/>
    <w:rsid w:val="00E0667B"/>
    <w:rsid w:val="00E37AF4"/>
    <w:rsid w:val="00E4743A"/>
    <w:rsid w:val="00E504B6"/>
    <w:rsid w:val="00E55053"/>
    <w:rsid w:val="00E77068"/>
    <w:rsid w:val="00EA7E87"/>
    <w:rsid w:val="00EC07D1"/>
    <w:rsid w:val="00F117D9"/>
    <w:rsid w:val="00F43340"/>
    <w:rsid w:val="00F53C7D"/>
    <w:rsid w:val="00F6760C"/>
    <w:rsid w:val="00F80C41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61CC-9D2B-4296-AA39-B1B708D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10</cp:revision>
  <cp:lastPrinted>2018-12-20T20:52:00Z</cp:lastPrinted>
  <dcterms:created xsi:type="dcterms:W3CDTF">2020-06-12T12:55:00Z</dcterms:created>
  <dcterms:modified xsi:type="dcterms:W3CDTF">2020-07-14T19:37:00Z</dcterms:modified>
</cp:coreProperties>
</file>