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3416A" w14:paraId="7DFEF033" w14:textId="77777777" w:rsidTr="00F40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72779819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7112EC44" w14:textId="35FAA349" w:rsidR="0033416A" w:rsidRDefault="00D6647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1729448</w:t>
            </w:r>
            <w:r w:rsidR="00D815B8">
              <w:rPr>
                <w:rFonts w:ascii="Times New Roman" w:hAnsi="Times New Roman"/>
                <w:iCs/>
                <w:szCs w:val="24"/>
              </w:rPr>
              <w:t>/2023</w:t>
            </w:r>
          </w:p>
        </w:tc>
      </w:tr>
      <w:tr w:rsidR="0033416A" w14:paraId="17DC2ED1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851CC57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3518EA2A" w14:textId="77777777" w:rsidR="0033416A" w:rsidRDefault="00EA2581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- CAU/PR</w:t>
            </w:r>
          </w:p>
        </w:tc>
      </w:tr>
      <w:tr w:rsidR="0033416A" w14:paraId="0554CBFA" w14:textId="77777777" w:rsidTr="00F40D9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4FCCE6E" w14:textId="77777777" w:rsidR="0033416A" w:rsidRDefault="00EA2581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21884F3E" w14:textId="381E1FF4" w:rsidR="0033416A" w:rsidRDefault="00571E86" w:rsidP="00571E8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Capacitação dos Conselheiros sobre a nova Resolução nº 198 de 15 de dezembro de 2020 </w:t>
            </w:r>
          </w:p>
        </w:tc>
      </w:tr>
      <w:tr w:rsidR="0033416A" w14:paraId="2E056E84" w14:textId="77777777" w:rsidTr="00F40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121F01E" w14:textId="339F8813" w:rsidR="0033416A" w:rsidRDefault="00571E86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038</w:t>
            </w:r>
            <w:r w:rsidR="00F40D9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F40D9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216D7999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FDEAC88" w14:textId="29544F10" w:rsidR="0033416A" w:rsidRPr="0093502C" w:rsidRDefault="00EA2581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A COMISSÃO DE EXERCÍCIO PROFISSIONAL (CEP-CAU/PR), reunida ordinariamente de forma híbrida no dia 2</w:t>
      </w:r>
      <w:r w:rsidR="00D815B8" w:rsidRPr="0093502C">
        <w:rPr>
          <w:rFonts w:ascii="Times New Roman" w:hAnsi="Times New Roman" w:cs="Times New Roman"/>
          <w:szCs w:val="24"/>
          <w:shd w:val="clear" w:color="auto" w:fill="FFFFFF"/>
        </w:rPr>
        <w:t>3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</w:t>
      </w:r>
      <w:r w:rsidR="00D815B8" w:rsidRPr="0093502C">
        <w:rPr>
          <w:rFonts w:ascii="Times New Roman" w:hAnsi="Times New Roman" w:cs="Times New Roman"/>
          <w:szCs w:val="24"/>
          <w:shd w:val="clear" w:color="auto" w:fill="FFFFFF"/>
        </w:rPr>
        <w:t>março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de 2023, no uso das competências que lhe conferem o Regimento Interno do CAU/PR, após análise do assunto </w:t>
      </w:r>
      <w:r w:rsidRPr="0093502C">
        <w:rPr>
          <w:rFonts w:ascii="Times New Roman" w:hAnsi="Times New Roman"/>
          <w:szCs w:val="24"/>
        </w:rPr>
        <w:t>em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epígrafe, e</w:t>
      </w:r>
    </w:p>
    <w:p w14:paraId="6EBB894B" w14:textId="13BCDEF1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3942A609" w14:textId="1551E453" w:rsidR="00F22092" w:rsidRPr="0093502C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que compete aos CAU/UF fiscalizar o exercício das atividades profissionais de Arquitetura e Urbanismo, conforme dispõe o art. 34, inciso VIII, da Lei nº 12.378, de 2010;</w:t>
      </w:r>
    </w:p>
    <w:p w14:paraId="5513A186" w14:textId="196522FA" w:rsidR="00C67731" w:rsidRPr="0093502C" w:rsidRDefault="00C6773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II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apreciar e deliberar sobre questionamentos referentes às resoluções e outros atos normativos do CAU/BR, vigentes, no âmbito de sua competência”;</w:t>
      </w:r>
    </w:p>
    <w:p w14:paraId="0AA289B1" w14:textId="4B714E55" w:rsidR="00EA2581" w:rsidRPr="0093502C" w:rsidRDefault="00EA2581" w:rsidP="00F22092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 do Paraná, Artigo 97, inciso X</w:t>
      </w:r>
      <w:r w:rsidRPr="0093502C">
        <w:rPr>
          <w:rFonts w:ascii="Times New Roman" w:hAnsi="Times New Roman" w:cs="Times New Roman"/>
          <w:szCs w:val="24"/>
          <w:shd w:val="clear" w:color="auto" w:fill="FFFFFF"/>
        </w:rPr>
        <w:t xml:space="preserve">II, onde “Compete às comissões ordinárias e especiais, </w:t>
      </w:r>
      <w:r w:rsidR="00571E86" w:rsidRPr="0093502C">
        <w:rPr>
          <w:rFonts w:ascii="Times New Roman" w:hAnsi="Times New Roman" w:cs="Times New Roman"/>
          <w:szCs w:val="24"/>
          <w:shd w:val="clear" w:color="auto" w:fill="FFFFFF"/>
        </w:rPr>
        <w:t>propor, apreciar e deliberar sobre o aprimoramento e cumprimento dos indicadores estratégicos pertinentes às competências da respectiva comissão”;</w:t>
      </w:r>
    </w:p>
    <w:p w14:paraId="2D0E595E" w14:textId="24A74903" w:rsidR="00A30CD4" w:rsidRPr="0093502C" w:rsidRDefault="00A30CD4" w:rsidP="00EA2581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finalidade da Comissão de Exercício Profissional do CAU/PR, estabelecida pelo Art. 101 do Regimento Interno, de zelar pela orientação e fiscalização do exercício da Arquitetura e Urbanismo;</w:t>
      </w:r>
    </w:p>
    <w:p w14:paraId="54BD22C2" w14:textId="274AEC8B" w:rsidR="00F22092" w:rsidRPr="0093502C" w:rsidRDefault="00F22092" w:rsidP="00EA2581">
      <w:pPr>
        <w:pStyle w:val="Corpodetexto"/>
        <w:ind w:left="0" w:firstLine="0"/>
        <w:rPr>
          <w:rFonts w:ascii="Times New Roman" w:hAnsi="Times New Roman" w:cs="Times New Roman"/>
          <w:szCs w:val="24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necessidade de aperfeiçoamento dos atuais atos normativos do CAU/BR que regulamentam a Lei n° 12.378, de 2010, e estabelecem os procedimentos para operacionalização da fiscalização do exercício profissional da Arquitetura e Urbanismo no Brasil</w:t>
      </w:r>
      <w:r w:rsidR="00B01B1E" w:rsidRPr="0093502C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14:paraId="7A929E76" w14:textId="77777777" w:rsidR="0033416A" w:rsidRDefault="0033416A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14:paraId="65D6106C" w14:textId="77777777" w:rsidR="0033416A" w:rsidRDefault="00EA258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6040ED4D" w14:textId="77777777" w:rsidR="0033416A" w:rsidRDefault="0033416A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5DC9CA8" w14:textId="5F768AD6" w:rsidR="0033416A" w:rsidRPr="0093502C" w:rsidRDefault="00BD4822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3502C">
        <w:rPr>
          <w:rFonts w:ascii="Times New Roman" w:hAnsi="Times New Roman"/>
          <w:szCs w:val="24"/>
        </w:rPr>
        <w:t xml:space="preserve">Solicitar ao CAU/BR que seja efetuado um treinamento/capacitação aos Conselheiros da CEP-CAU/PR, </w:t>
      </w:r>
      <w:r w:rsidR="00CB3BC9" w:rsidRPr="0093502C">
        <w:rPr>
          <w:rFonts w:ascii="Times New Roman" w:hAnsi="Times New Roman"/>
          <w:szCs w:val="24"/>
        </w:rPr>
        <w:t xml:space="preserve">em relação a </w:t>
      </w:r>
      <w:r w:rsidRPr="0093502C">
        <w:rPr>
          <w:rFonts w:ascii="Times New Roman" w:hAnsi="Times New Roman"/>
          <w:szCs w:val="24"/>
        </w:rPr>
        <w:t>Resolução nº 198 de 15 de dezembro de 2020</w:t>
      </w:r>
      <w:r w:rsidR="00DF71E5" w:rsidRPr="0093502C">
        <w:rPr>
          <w:rFonts w:ascii="Times New Roman" w:hAnsi="Times New Roman"/>
          <w:szCs w:val="24"/>
        </w:rPr>
        <w:t>,</w:t>
      </w:r>
      <w:r w:rsidR="0060305E" w:rsidRPr="0093502C">
        <w:rPr>
          <w:rFonts w:ascii="Times New Roman" w:hAnsi="Times New Roman"/>
          <w:szCs w:val="24"/>
        </w:rPr>
        <w:t xml:space="preserve"> em regime de urgência, devido ao </w:t>
      </w:r>
      <w:r w:rsidRPr="0093502C">
        <w:rPr>
          <w:rFonts w:ascii="Times New Roman" w:hAnsi="Times New Roman"/>
          <w:szCs w:val="24"/>
        </w:rPr>
        <w:t xml:space="preserve">início de </w:t>
      </w:r>
      <w:r w:rsidR="00DF71E5" w:rsidRPr="0093502C">
        <w:rPr>
          <w:rFonts w:ascii="Times New Roman" w:hAnsi="Times New Roman"/>
          <w:szCs w:val="24"/>
        </w:rPr>
        <w:t xml:space="preserve">sua </w:t>
      </w:r>
      <w:r w:rsidRPr="0093502C">
        <w:rPr>
          <w:rFonts w:ascii="Times New Roman" w:hAnsi="Times New Roman"/>
          <w:szCs w:val="24"/>
        </w:rPr>
        <w:t>vigência em 27 de março de 2023</w:t>
      </w:r>
      <w:r w:rsidR="006C6DB3">
        <w:rPr>
          <w:rFonts w:ascii="Times New Roman" w:hAnsi="Times New Roman"/>
          <w:szCs w:val="24"/>
        </w:rPr>
        <w:t xml:space="preserve"> disposto pela Resolução nº 226 de 25 de novembro de 2022</w:t>
      </w:r>
      <w:r w:rsidRPr="0093502C">
        <w:rPr>
          <w:rFonts w:ascii="Times New Roman" w:hAnsi="Times New Roman"/>
          <w:szCs w:val="24"/>
        </w:rPr>
        <w:t>;</w:t>
      </w:r>
    </w:p>
    <w:p w14:paraId="6B72B245" w14:textId="77777777" w:rsidR="0033416A" w:rsidRPr="0093502C" w:rsidRDefault="00EA2581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 w:rsidRPr="0093502C">
        <w:rPr>
          <w:rFonts w:ascii="Times New Roman" w:hAnsi="Times New Roman"/>
          <w:szCs w:val="24"/>
        </w:rPr>
        <w:t>Encaminhar esta Deliberação à Presidência do CAU/PR para conhecimento.</w:t>
      </w:r>
    </w:p>
    <w:p w14:paraId="3E1F51FD" w14:textId="77777777" w:rsidR="0033416A" w:rsidRDefault="00EA2581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52993013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59D62896" w14:textId="77777777" w:rsidR="0033416A" w:rsidRDefault="0033416A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07DFDA9D" w14:textId="2E767D6C" w:rsidR="0033416A" w:rsidRDefault="00D815B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8663D3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3</w:t>
      </w:r>
      <w:r w:rsidR="008663D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</w:t>
      </w:r>
      <w:r w:rsidR="008663D3">
        <w:rPr>
          <w:rFonts w:ascii="Times New Roman" w:hAnsi="Times New Roman" w:cs="Times New Roman"/>
          <w:szCs w:val="24"/>
        </w:rPr>
        <w:t>o de 2023.</w:t>
      </w:r>
    </w:p>
    <w:p w14:paraId="31D25D87" w14:textId="77777777" w:rsidR="0033416A" w:rsidRDefault="003341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8663D3" w:rsidRPr="002B7A7C" w14:paraId="647C92CF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7CA4F56C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5F682EA3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3AD20D8A" w14:textId="77777777" w:rsidR="008663D3" w:rsidRPr="002B7A7C" w:rsidRDefault="008663D3" w:rsidP="00AE7E0A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275E374F" w14:textId="77777777" w:rsidR="008663D3" w:rsidRPr="002B7A7C" w:rsidRDefault="008663D3" w:rsidP="00AE7E0A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8663D3" w:rsidRPr="00E8489B" w14:paraId="6E0B4097" w14:textId="77777777" w:rsidTr="00AE7E0A">
        <w:trPr>
          <w:trHeight w:val="1417"/>
        </w:trPr>
        <w:tc>
          <w:tcPr>
            <w:tcW w:w="4962" w:type="dxa"/>
            <w:vAlign w:val="bottom"/>
          </w:tcPr>
          <w:p w14:paraId="24B65366" w14:textId="77777777" w:rsidR="00E8489B" w:rsidRPr="00E8489B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8489B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HÜTNER JUNIIOR</w:t>
            </w:r>
          </w:p>
          <w:p w14:paraId="4D8D9E4E" w14:textId="77777777" w:rsidR="008663D3" w:rsidRDefault="008663D3" w:rsidP="00AE7E0A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E92EAAA" w14:textId="77777777" w:rsidR="00E8489B" w:rsidRPr="002B7A7C" w:rsidRDefault="00E8489B" w:rsidP="00E8489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4CFF0262" w14:textId="3179BDBC" w:rsidR="008663D3" w:rsidRPr="00E8489B" w:rsidRDefault="008663D3" w:rsidP="008663D3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b/>
                <w:szCs w:val="14"/>
              </w:rPr>
            </w:pPr>
            <w:r w:rsidRPr="00E8489B">
              <w:rPr>
                <w:sz w:val="20"/>
                <w:lang w:eastAsia="en-US"/>
              </w:rPr>
              <w:t>Membro</w:t>
            </w:r>
          </w:p>
        </w:tc>
      </w:tr>
    </w:tbl>
    <w:p w14:paraId="319E1ACB" w14:textId="77777777" w:rsidR="0033416A" w:rsidRPr="00E8489B" w:rsidRDefault="0033416A">
      <w:pPr>
        <w:spacing w:after="160"/>
        <w:rPr>
          <w:rFonts w:ascii="Times New Roman" w:hAnsi="Times New Roman"/>
          <w:szCs w:val="24"/>
        </w:rPr>
      </w:pPr>
    </w:p>
    <w:p w14:paraId="19769B57" w14:textId="77777777" w:rsidR="0033416A" w:rsidRDefault="0033416A">
      <w:pPr>
        <w:spacing w:after="160"/>
        <w:rPr>
          <w:rFonts w:ascii="Times New Roman" w:hAnsi="Times New Roman"/>
          <w:szCs w:val="24"/>
        </w:rPr>
      </w:pPr>
    </w:p>
    <w:p w14:paraId="193602EB" w14:textId="77777777" w:rsidR="0093502C" w:rsidRDefault="0093502C">
      <w:pPr>
        <w:spacing w:after="160"/>
        <w:rPr>
          <w:rFonts w:ascii="Times New Roman" w:hAnsi="Times New Roman"/>
          <w:szCs w:val="24"/>
        </w:rPr>
      </w:pPr>
    </w:p>
    <w:p w14:paraId="3B5634D1" w14:textId="77777777" w:rsidR="00EA2581" w:rsidRPr="00E8489B" w:rsidRDefault="00EA2581">
      <w:pPr>
        <w:spacing w:after="160"/>
        <w:rPr>
          <w:rFonts w:ascii="Times New Roman" w:hAnsi="Times New Roman"/>
          <w:szCs w:val="24"/>
        </w:rPr>
      </w:pPr>
    </w:p>
    <w:p w14:paraId="763217EB" w14:textId="54F38953" w:rsidR="0033416A" w:rsidRDefault="00D815B8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3</w:t>
      </w:r>
      <w:r w:rsidR="00EA2581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7ACC7EDD" w14:textId="77777777" w:rsidR="0033416A" w:rsidRDefault="00EA2581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122BE517" w14:textId="77777777" w:rsidR="0033416A" w:rsidRDefault="00EA2581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3416A" w14:paraId="5D8B2EE7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900602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E746B03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33A458E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3416A" w14:paraId="5E8A33F6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93375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BF2C99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EA63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ACA59" w14:textId="77777777" w:rsidR="0033416A" w:rsidRDefault="00EA2581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916750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53DA1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3416A" w14:paraId="7864CB97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F84279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1B218E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E31955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4F961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3CC8E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F3ADF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59656C58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36647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D7868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12052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51A881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37FA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0246DE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0326CED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FA4091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BB0EC" w14:textId="408A7E8A" w:rsidR="0033416A" w:rsidRDefault="00E8489B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0F3B0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596286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2591BD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54B815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403B6B3C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2DA5724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D4DC0AC" w14:textId="1C254EE0" w:rsidR="0033416A" w:rsidRDefault="00E8489B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AE5409F" w14:textId="77777777" w:rsidR="0033416A" w:rsidRDefault="00EA258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7ED0A8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BA44CB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3EE18D4" w14:textId="77777777" w:rsidR="0033416A" w:rsidRDefault="0033416A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3416A" w14:paraId="7E7F3508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DBE0E" w14:textId="77777777" w:rsidR="0033416A" w:rsidRDefault="0033416A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C0F015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73D0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4C7D28DB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95484D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2039DA6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FC39D88" w14:textId="77777777" w:rsidR="0033416A" w:rsidRDefault="0033416A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3416A" w14:paraId="00893277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712270CF" w14:textId="695D85E9" w:rsidR="0033416A" w:rsidRDefault="00EA2581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514EAD9C" w14:textId="5635DE39" w:rsidR="0033416A" w:rsidRDefault="00EA2581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2670F9D" w14:textId="66C22E62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</w:t>
            </w:r>
            <w:r w:rsidR="00D40FA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1729448</w:t>
            </w:r>
            <w:bookmarkStart w:id="0" w:name="_GoBack"/>
            <w:bookmarkEnd w:id="0"/>
            <w:r w:rsidR="00D815B8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56CEE0FC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E8489B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599A136A" w14:textId="77777777" w:rsidR="0033416A" w:rsidRDefault="00EA258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06E7AA9E" w14:textId="77777777" w:rsidR="0033416A" w:rsidRDefault="00EA2581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2A61A226" w14:textId="77777777" w:rsidR="0033416A" w:rsidRDefault="0033416A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3416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EA346" w14:textId="77777777" w:rsidR="00626717" w:rsidRDefault="00626717">
      <w:pPr>
        <w:spacing w:after="0" w:line="240" w:lineRule="auto"/>
      </w:pPr>
      <w:r>
        <w:separator/>
      </w:r>
    </w:p>
  </w:endnote>
  <w:endnote w:type="continuationSeparator" w:id="0">
    <w:p w14:paraId="43C0AE2F" w14:textId="77777777" w:rsidR="00626717" w:rsidRDefault="0062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8BBE" w14:textId="77777777" w:rsidR="0033416A" w:rsidRDefault="0033416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686F8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27E4CDCF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0FB83F64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8F8B2" w14:textId="77777777" w:rsidR="0033416A" w:rsidRDefault="00EA2581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74B9B115" w14:textId="77777777" w:rsidR="0033416A" w:rsidRDefault="00EA2581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12CB6C8A" w14:textId="77777777" w:rsidR="0033416A" w:rsidRDefault="00EA2581">
    <w:pPr>
      <w:pStyle w:val="Rodap"/>
      <w:ind w:left="0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Londrina: Rua Paranaguá, 300, Sala 5, CEP 86020-030 - Fone: 43 3039-0035 </w:t>
    </w: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3A46" w14:textId="77777777" w:rsidR="00626717" w:rsidRDefault="00626717">
      <w:pPr>
        <w:spacing w:after="0" w:line="240" w:lineRule="auto"/>
      </w:pPr>
      <w:r>
        <w:separator/>
      </w:r>
    </w:p>
  </w:footnote>
  <w:footnote w:type="continuationSeparator" w:id="0">
    <w:p w14:paraId="4A83FFEB" w14:textId="77777777" w:rsidR="00626717" w:rsidRDefault="0062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48840"/>
      <w:docPartObj>
        <w:docPartGallery w:val="Page Numbers (Top of Page)"/>
        <w:docPartUnique/>
      </w:docPartObj>
    </w:sdtPr>
    <w:sdtEndPr/>
    <w:sdtContent>
      <w:p w14:paraId="7C67C87F" w14:textId="77777777" w:rsidR="0033416A" w:rsidRDefault="00EA2581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20A7FA9F" wp14:editId="674666DF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40FA0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40FA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3483B609" w14:textId="77777777" w:rsidR="0033416A" w:rsidRDefault="0033416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0866"/>
    <w:multiLevelType w:val="multilevel"/>
    <w:tmpl w:val="B5B0D3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6A"/>
    <w:rsid w:val="0033416A"/>
    <w:rsid w:val="00571E86"/>
    <w:rsid w:val="0060305E"/>
    <w:rsid w:val="00626717"/>
    <w:rsid w:val="00672485"/>
    <w:rsid w:val="006C6DB3"/>
    <w:rsid w:val="00783EBE"/>
    <w:rsid w:val="008663D3"/>
    <w:rsid w:val="0093502C"/>
    <w:rsid w:val="00A30CD4"/>
    <w:rsid w:val="00B01B1E"/>
    <w:rsid w:val="00BD4822"/>
    <w:rsid w:val="00C67731"/>
    <w:rsid w:val="00CB3BC9"/>
    <w:rsid w:val="00D40FA0"/>
    <w:rsid w:val="00D6647C"/>
    <w:rsid w:val="00D815B8"/>
    <w:rsid w:val="00D92E37"/>
    <w:rsid w:val="00DF71E5"/>
    <w:rsid w:val="00E8489B"/>
    <w:rsid w:val="00EA2581"/>
    <w:rsid w:val="00F22092"/>
    <w:rsid w:val="00F4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EDF"/>
  <w15:docId w15:val="{A207D5B0-2293-4156-9A39-997F854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8663D3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15</cp:revision>
  <cp:lastPrinted>2023-03-07T11:20:00Z</cp:lastPrinted>
  <dcterms:created xsi:type="dcterms:W3CDTF">2023-03-07T11:03:00Z</dcterms:created>
  <dcterms:modified xsi:type="dcterms:W3CDTF">2023-03-24T12:22:00Z</dcterms:modified>
  <dc:language>pt-BR</dc:language>
</cp:coreProperties>
</file>