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14:paraId="4A2D9097" w14:textId="77777777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F78FACC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F3A49CA" w14:textId="77777777" w:rsidR="00757E0C" w:rsidRDefault="00757E0C">
            <w:pPr>
              <w:widowControl w:val="0"/>
              <w:spacing w:after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57E0C" w14:paraId="183EE397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10D243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D5F3347" w14:textId="77777777" w:rsidR="00757E0C" w:rsidRPr="00F31BFB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F31BFB">
              <w:rPr>
                <w:rFonts w:ascii="Times New Roman" w:eastAsia="Calibri" w:hAnsi="Times New Roman" w:cs="Times New Roman"/>
                <w:b/>
              </w:rPr>
              <w:t>CPUA-CAU/PR</w:t>
            </w:r>
          </w:p>
        </w:tc>
      </w:tr>
      <w:tr w:rsidR="00757E0C" w14:paraId="4616B958" w14:textId="77777777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FADE58E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D4C604A" w14:textId="77777777" w:rsidR="00757E0C" w:rsidRPr="00F31BFB" w:rsidRDefault="00F31BFB" w:rsidP="00D169AA">
            <w:pPr>
              <w:pStyle w:val="TableParagraph"/>
              <w:widowControl w:val="0"/>
              <w:spacing w:line="21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 w:rsidRPr="00F31BFB">
              <w:rPr>
                <w:rStyle w:val="nfaseforte"/>
                <w:rFonts w:ascii="Times New Roman" w:eastAsia="Times New Roman" w:hAnsi="Times New Roman" w:cs="Times New Roman"/>
                <w:sz w:val="22"/>
              </w:rPr>
              <w:t xml:space="preserve">REUNIÃO EXTRAORDINÁRIA </w:t>
            </w:r>
            <w:r w:rsidR="00D169AA" w:rsidRPr="00F31BFB">
              <w:rPr>
                <w:rStyle w:val="nfaseforte"/>
                <w:rFonts w:ascii="Times New Roman" w:eastAsia="Times New Roman" w:hAnsi="Times New Roman" w:cs="Times New Roman"/>
                <w:sz w:val="22"/>
              </w:rPr>
              <w:t>PARA DISCUTIR O REURB</w:t>
            </w:r>
          </w:p>
        </w:tc>
      </w:tr>
      <w:tr w:rsidR="00757E0C" w14:paraId="270CF53E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D1433A" w14:textId="77777777"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14:paraId="3E8B897A" w14:textId="77777777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7291807" w14:textId="77777777" w:rsidR="00757E0C" w:rsidRDefault="00B41142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11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14:paraId="0A25EB5C" w14:textId="77777777"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6BC2DA52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A Comissão Especial de Política Urbana e Ambiental (CPUA-CAU/PR), reunida ordinaria</w:t>
      </w:r>
      <w:r w:rsidR="00964D0E">
        <w:rPr>
          <w:rFonts w:ascii="Times New Roman" w:hAnsi="Times New Roman" w:cs="Times New Roman"/>
          <w:sz w:val="22"/>
        </w:rPr>
        <w:t>mente por meio de reunião hibrida</w:t>
      </w:r>
      <w:r w:rsidRPr="00964D0E">
        <w:rPr>
          <w:rFonts w:ascii="Times New Roman" w:hAnsi="Times New Roman" w:cs="Times New Roman"/>
          <w:sz w:val="22"/>
        </w:rPr>
        <w:t xml:space="preserve">, realizada através da plataforma </w:t>
      </w:r>
      <w:r w:rsidRPr="00964D0E">
        <w:rPr>
          <w:rFonts w:ascii="Times New Roman" w:hAnsi="Times New Roman" w:cs="Times New Roman"/>
          <w:i/>
          <w:iCs/>
          <w:sz w:val="22"/>
        </w:rPr>
        <w:t xml:space="preserve">Microsoft </w:t>
      </w:r>
      <w:proofErr w:type="spellStart"/>
      <w:r w:rsidRPr="00964D0E">
        <w:rPr>
          <w:rFonts w:ascii="Times New Roman" w:hAnsi="Times New Roman" w:cs="Times New Roman"/>
          <w:i/>
          <w:iCs/>
          <w:sz w:val="22"/>
        </w:rPr>
        <w:t>Teams</w:t>
      </w:r>
      <w:proofErr w:type="spellEnd"/>
      <w:r w:rsidRPr="00964D0E">
        <w:rPr>
          <w:rFonts w:ascii="Times New Roman" w:hAnsi="Times New Roman" w:cs="Times New Roman"/>
          <w:sz w:val="22"/>
        </w:rPr>
        <w:t>, no dia 22 de junho de 2023, no uso das competências que lhe conferem o artigo 12, § 1º, da Resolução CAU/BR nº 104, o artigo 2º, inciso III, alínea ‘b’, da Resolução CAU/BR nº 30; e</w:t>
      </w:r>
    </w:p>
    <w:p w14:paraId="2D3E7AF2" w14:textId="77777777" w:rsidR="00757E0C" w:rsidRPr="00964D0E" w:rsidRDefault="00F31BFB" w:rsidP="00964D0E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50FF52D4" w14:textId="77777777" w:rsidR="00757E0C" w:rsidRPr="00964D0E" w:rsidRDefault="00F31BFB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14:paraId="6E1982B4" w14:textId="77777777" w:rsidR="003E1F24" w:rsidRPr="00964D0E" w:rsidRDefault="003E1F24" w:rsidP="00964D0E">
      <w:pPr>
        <w:spacing w:before="240" w:after="240"/>
        <w:rPr>
          <w:rFonts w:ascii="Times New Roman" w:hAnsi="Times New Roman" w:cs="Times New Roman"/>
          <w:bCs/>
          <w:color w:val="000000" w:themeColor="text1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 xml:space="preserve">Considerando que o </w:t>
      </w:r>
      <w:r w:rsidRPr="00964D0E">
        <w:rPr>
          <w:rFonts w:ascii="Times New Roman" w:hAnsi="Times New Roman" w:cs="Times New Roman"/>
          <w:bCs/>
          <w:color w:val="000000" w:themeColor="text1"/>
          <w:sz w:val="22"/>
        </w:rPr>
        <w:t>especialista no tema é o JULIANO GERANDI.</w:t>
      </w:r>
    </w:p>
    <w:p w14:paraId="63B81E9C" w14:textId="77777777" w:rsidR="00D47F68" w:rsidRPr="00964D0E" w:rsidRDefault="00D47F68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hAnsi="Times New Roman" w:cs="Times New Roman"/>
          <w:bCs/>
          <w:color w:val="000000" w:themeColor="text1"/>
          <w:sz w:val="22"/>
        </w:rPr>
        <w:t xml:space="preserve">Considerando </w:t>
      </w:r>
      <w:r w:rsidR="0047506B" w:rsidRPr="00964D0E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DECRETO Nº </w:t>
      </w:r>
      <w:r w:rsidR="0047506B" w:rsidRPr="00964D0E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1488, </w:t>
      </w:r>
      <w:r w:rsidR="0047506B" w:rsidRPr="00964D0E">
        <w:rPr>
          <w:rFonts w:ascii="Times New Roman" w:eastAsiaTheme="minorHAnsi" w:hAnsi="Times New Roman" w:cs="Times New Roman"/>
          <w:bCs/>
          <w:i/>
          <w:color w:val="auto"/>
          <w:sz w:val="22"/>
          <w:lang w:eastAsia="en-US"/>
        </w:rPr>
        <w:t>que</w:t>
      </w:r>
      <w:r w:rsidR="0047506B" w:rsidRPr="00964D0E">
        <w:rPr>
          <w:rFonts w:ascii="Times New Roman" w:eastAsiaTheme="minorHAnsi" w:hAnsi="Times New Roman" w:cs="Times New Roman"/>
          <w:b/>
          <w:bCs/>
          <w:i/>
          <w:color w:val="auto"/>
          <w:sz w:val="22"/>
          <w:lang w:eastAsia="en-US"/>
        </w:rPr>
        <w:t xml:space="preserve"> </w:t>
      </w:r>
      <w:r w:rsidR="0047506B" w:rsidRPr="00964D0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dispõe sobre a aplicabilidade da Lei Federal n.º 13.465, de 11 de julho de 2017 e do Decreto Federal n.º 9.310, de 15 de março de 2018, que dispõem sobre as normas de regularização fundiária rural e urbana e regulamenta o processo administrativo de Regularização Fundiária - </w:t>
      </w:r>
      <w:proofErr w:type="spellStart"/>
      <w:r w:rsidR="0047506B" w:rsidRPr="00964D0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Reurb</w:t>
      </w:r>
      <w:proofErr w:type="spellEnd"/>
      <w:r w:rsidR="0047506B" w:rsidRPr="00964D0E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, no âmbito do Município de Curitiba.</w:t>
      </w:r>
    </w:p>
    <w:p w14:paraId="297B442E" w14:textId="77777777" w:rsidR="00C021BF" w:rsidRPr="00964D0E" w:rsidRDefault="00C021BF" w:rsidP="00964D0E">
      <w:pPr>
        <w:spacing w:before="240" w:after="240"/>
        <w:rPr>
          <w:rFonts w:ascii="Times New Roman" w:hAnsi="Times New Roman" w:cs="Times New Roman"/>
          <w:sz w:val="22"/>
        </w:rPr>
      </w:pPr>
    </w:p>
    <w:p w14:paraId="78F355B3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b/>
          <w:bCs/>
          <w:sz w:val="22"/>
        </w:rPr>
        <w:t>DELIBERA:</w:t>
      </w:r>
    </w:p>
    <w:p w14:paraId="2A2BAEB0" w14:textId="7FF3F4DB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</w:tabs>
        <w:spacing w:before="240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uma Reunião Extraordinária, em data a ser definida, para que seja d</w:t>
      </w:r>
      <w:r w:rsidR="00B41142" w:rsidRPr="00964D0E">
        <w:rPr>
          <w:rFonts w:ascii="Times New Roman" w:hAnsi="Times New Roman"/>
          <w:sz w:val="22"/>
          <w:szCs w:val="22"/>
        </w:rPr>
        <w:t xml:space="preserve">iscutido </w:t>
      </w:r>
      <w:r w:rsidR="003E1F24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>a questão do REURB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 com o</w:t>
      </w:r>
      <w:r w:rsidR="002C7AA6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>s Conselheiros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 JULIANO</w:t>
      </w:r>
      <w:r w:rsidR="002C7AA6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 GERALDI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, MAUGHAM </w:t>
      </w:r>
      <w:r w:rsidR="002C7AA6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ZAZE 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2C7AA6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WALTER 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>GUSTAVO</w:t>
      </w:r>
      <w:r w:rsidR="002C7AA6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 LINZMEYER</w:t>
      </w:r>
      <w:r w:rsidR="00B41142" w:rsidRPr="00964D0E">
        <w:rPr>
          <w:rFonts w:ascii="Times New Roman" w:eastAsia="Arial" w:hAnsi="Times New Roman"/>
          <w:bCs/>
          <w:color w:val="000000" w:themeColor="text1"/>
          <w:sz w:val="22"/>
          <w:szCs w:val="22"/>
          <w:lang w:eastAsia="pt-BR"/>
        </w:rPr>
        <w:t xml:space="preserve"> e aberta aos outros membros que quiserem participar</w:t>
      </w:r>
      <w:r w:rsidR="00B41142" w:rsidRPr="00964D0E">
        <w:rPr>
          <w:rFonts w:ascii="Times New Roman" w:hAnsi="Times New Roman"/>
          <w:sz w:val="22"/>
          <w:szCs w:val="22"/>
        </w:rPr>
        <w:t>;</w:t>
      </w:r>
      <w:r w:rsidRPr="00964D0E">
        <w:rPr>
          <w:rFonts w:ascii="Times New Roman" w:hAnsi="Times New Roman"/>
          <w:sz w:val="22"/>
          <w:szCs w:val="22"/>
        </w:rPr>
        <w:t xml:space="preserve"> </w:t>
      </w:r>
    </w:p>
    <w:p w14:paraId="68D956C0" w14:textId="77777777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left" w:pos="709"/>
          <w:tab w:val="left" w:pos="12780"/>
        </w:tabs>
        <w:spacing w:before="240" w:after="24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 xml:space="preserve">Encaminhar </w:t>
      </w:r>
      <w:r w:rsidR="00B41142" w:rsidRPr="00964D0E">
        <w:rPr>
          <w:rFonts w:ascii="Times New Roman" w:hAnsi="Times New Roman"/>
          <w:sz w:val="22"/>
          <w:szCs w:val="22"/>
        </w:rPr>
        <w:t>está</w:t>
      </w:r>
      <w:r w:rsidRPr="00964D0E"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001"/>
        <w:gridCol w:w="5404"/>
        <w:gridCol w:w="2254"/>
      </w:tblGrid>
      <w:tr w:rsidR="00757E0C" w:rsidRPr="00964D0E" w14:paraId="15DBB361" w14:textId="77777777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14:paraId="74E1E228" w14:textId="77777777" w:rsidR="00757E0C" w:rsidRPr="00964D0E" w:rsidRDefault="00757E0C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14:paraId="18AE13A4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SETOR</w:t>
            </w:r>
          </w:p>
        </w:tc>
        <w:tc>
          <w:tcPr>
            <w:tcW w:w="5403" w:type="dxa"/>
            <w:tcBorders>
              <w:top w:val="single" w:sz="6" w:space="0" w:color="000000"/>
              <w:bottom w:val="single" w:sz="6" w:space="0" w:color="000000"/>
            </w:tcBorders>
          </w:tcPr>
          <w:p w14:paraId="69343ED6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14:paraId="145B83CB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PRAZO</w:t>
            </w:r>
          </w:p>
        </w:tc>
      </w:tr>
      <w:tr w:rsidR="00757E0C" w:rsidRPr="00964D0E" w14:paraId="08259555" w14:textId="77777777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14:paraId="287D3F4C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14:paraId="67F1FCC8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CPUA</w:t>
            </w:r>
          </w:p>
        </w:tc>
        <w:tc>
          <w:tcPr>
            <w:tcW w:w="5403" w:type="dxa"/>
            <w:tcBorders>
              <w:top w:val="single" w:sz="6" w:space="0" w:color="000000"/>
            </w:tcBorders>
          </w:tcPr>
          <w:p w14:paraId="497B6B02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1EC50A37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12 horas</w:t>
            </w:r>
          </w:p>
        </w:tc>
      </w:tr>
      <w:tr w:rsidR="00757E0C" w:rsidRPr="00964D0E" w14:paraId="00F1ECFC" w14:textId="77777777">
        <w:tc>
          <w:tcPr>
            <w:tcW w:w="408" w:type="dxa"/>
            <w:tcBorders>
              <w:bottom w:val="single" w:sz="6" w:space="0" w:color="000000"/>
            </w:tcBorders>
          </w:tcPr>
          <w:p w14:paraId="24DE9DF2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14:paraId="0B5E0C02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64D0E">
              <w:rPr>
                <w:rFonts w:ascii="Times New Roman" w:eastAsia="Times New Roman" w:hAnsi="Times New Roman" w:cs="Times New Roman"/>
                <w:sz w:val="22"/>
              </w:rPr>
              <w:t>Presi-dência</w:t>
            </w:r>
            <w:proofErr w:type="spellEnd"/>
          </w:p>
        </w:tc>
        <w:tc>
          <w:tcPr>
            <w:tcW w:w="5403" w:type="dxa"/>
            <w:tcBorders>
              <w:bottom w:val="single" w:sz="6" w:space="0" w:color="000000"/>
            </w:tcBorders>
          </w:tcPr>
          <w:p w14:paraId="31FF59F5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C2ACC72" w14:textId="77777777" w:rsidR="00757E0C" w:rsidRPr="00964D0E" w:rsidRDefault="00F31BFB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Próxima Plenária do CAU/PR</w:t>
            </w:r>
          </w:p>
        </w:tc>
      </w:tr>
    </w:tbl>
    <w:p w14:paraId="5C1D4288" w14:textId="77777777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  <w:tab w:val="left" w:pos="709"/>
          <w:tab w:val="left" w:pos="127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14:paraId="698E4414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ab/>
      </w:r>
      <w:r w:rsidRPr="00964D0E"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14:paraId="11D6B56B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  <w:lang w:eastAsia="pt-BR"/>
        </w:rPr>
        <w:tab/>
      </w:r>
      <w:r w:rsidRPr="00964D0E">
        <w:rPr>
          <w:rFonts w:ascii="Times New Roman" w:hAnsi="Times New Roman"/>
          <w:sz w:val="22"/>
          <w:szCs w:val="22"/>
        </w:rPr>
        <w:t>Esta deliberação entra e vigor nesta data.</w:t>
      </w:r>
    </w:p>
    <w:p w14:paraId="74FA90E6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B95CF40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D3CA24A" w14:textId="77777777" w:rsidR="00757E0C" w:rsidRPr="00964D0E" w:rsidRDefault="00F31BFB" w:rsidP="00964D0E">
      <w:pPr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lastRenderedPageBreak/>
        <w:t>Curitiba (PR), 22 de junho de 2023.</w:t>
      </w:r>
    </w:p>
    <w:p w14:paraId="2A2ADB22" w14:textId="77777777"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14:paraId="4925708E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C5BE32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2C27559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C0C7C8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612BAC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7948637" w14:textId="77777777"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 w14:paraId="4F6CCE27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B39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14:paraId="35105A63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86553" w14:textId="77777777"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76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14:paraId="7C9DDE79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C2D944C" w14:textId="77777777"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14:paraId="1B9EF131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B97A683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43DBD4E5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63831ED8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38433383" w14:textId="77777777"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14:paraId="33A43487" w14:textId="77777777" w:rsidTr="00A86876">
        <w:trPr>
          <w:trHeight w:val="220"/>
          <w:jc w:val="center"/>
        </w:trPr>
        <w:tc>
          <w:tcPr>
            <w:tcW w:w="9070" w:type="dxa"/>
            <w:gridSpan w:val="6"/>
          </w:tcPr>
          <w:p w14:paraId="051C09C7" w14:textId="77777777" w:rsidR="003E42E5" w:rsidRDefault="003E42E5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6ª REUNIÃO ORDINÁRIA DA CPUA-CAU/PR 2023</w:t>
            </w:r>
          </w:p>
          <w:p w14:paraId="1FAFBAF6" w14:textId="77777777" w:rsidR="003E42E5" w:rsidRDefault="003E42E5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14:paraId="6F7EFEA9" w14:textId="77777777" w:rsidTr="00A86876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3D7FEB9F" w14:textId="77777777"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14:paraId="4485F3BD" w14:textId="77777777" w:rsidTr="00A86876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C99A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A0341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C84F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Votação</w:t>
            </w:r>
          </w:p>
        </w:tc>
      </w:tr>
      <w:tr w:rsidR="003E42E5" w14:paraId="1E973179" w14:textId="77777777" w:rsidTr="00A86876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E464D0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6086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A0FA9CE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5F2155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32A35E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Abst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561A8D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Ausên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3E42E5" w14:paraId="4991161D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14:paraId="2951C1F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14:paraId="408B778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Ormy Leocádio Hütner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14:paraId="41762CF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14:paraId="6DA9052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14:paraId="0836C2A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14:paraId="37D6E16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992445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5E0A2223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5CC7D1E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Vandinês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Gremaschi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0E8D106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EA7A6F4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50BC94F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DAB95A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72978B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0116DF8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07B48316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Eduardo Verri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3159B1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5EEC833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3273EE5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248A5884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0F762C5E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92C964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E8EC38A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pacing w:val="4"/>
                <w:sz w:val="22"/>
              </w:rPr>
            </w:pPr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 xml:space="preserve">Walter Gustavo </w:t>
            </w:r>
            <w:proofErr w:type="spellStart"/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5F06E7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3CB4D5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296392B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C01786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129FF904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14:paraId="4390D728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14:paraId="269AFE89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Maugham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14:paraId="2323A1E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14:paraId="2907672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14:paraId="1C0DE2A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14:paraId="5BBD923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C601ABD" w14:textId="77777777" w:rsidTr="00A86876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E20D38A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sz w:val="22"/>
              </w:rPr>
            </w:pPr>
          </w:p>
        </w:tc>
      </w:tr>
      <w:tr w:rsidR="003E42E5" w14:paraId="2103B9BF" w14:textId="77777777" w:rsidTr="00A86876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EEBB0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Histórico da votação: 6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14:paraId="0A8A94E7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 w:rsidRPr="003E42E5">
              <w:rPr>
                <w:rFonts w:ascii="Times New Roman" w:hAnsi="Times New Roman"/>
                <w:b/>
                <w:sz w:val="22"/>
              </w:rPr>
              <w:t>22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/06/2023</w:t>
            </w:r>
          </w:p>
          <w:p w14:paraId="017F17B8" w14:textId="77777777" w:rsidR="00B41142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  <w:r w:rsidR="00B41142" w:rsidRPr="00F31BFB">
              <w:rPr>
                <w:rStyle w:val="nfaseforte"/>
                <w:rFonts w:ascii="Times New Roman" w:eastAsia="Times New Roman" w:hAnsi="Times New Roman" w:cs="Times New Roman"/>
                <w:sz w:val="22"/>
              </w:rPr>
              <w:t>REUNIÃO EXTRAORDINÁRIA PARA DISCUTIR O REURB</w:t>
            </w:r>
          </w:p>
          <w:p w14:paraId="03BDB15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Pr="003E42E5">
              <w:rPr>
                <w:rFonts w:ascii="Times New Roman" w:hAnsi="Times New Roman"/>
                <w:sz w:val="22"/>
              </w:rPr>
              <w:t xml:space="preserve">(5),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3E42E5">
              <w:rPr>
                <w:rFonts w:ascii="Times New Roman" w:hAnsi="Times New Roman"/>
                <w:sz w:val="22"/>
              </w:rPr>
              <w:t xml:space="preserve">(0)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14:paraId="1F49BCCA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14:paraId="6ADC505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r w:rsidRPr="003E42E5">
              <w:rPr>
                <w:rFonts w:ascii="Times New Roman" w:hAnsi="Times New Roman"/>
                <w:b/>
                <w:sz w:val="22"/>
              </w:rPr>
              <w:t>Ormy Leocádio Hütner Junior</w:t>
            </w:r>
          </w:p>
        </w:tc>
      </w:tr>
    </w:tbl>
    <w:p w14:paraId="26F987DD" w14:textId="77777777" w:rsidR="00757E0C" w:rsidRDefault="00757E0C">
      <w:pPr>
        <w:rPr>
          <w:rFonts w:ascii="Times New Roman" w:hAnsi="Times New Roman"/>
          <w:b/>
          <w:sz w:val="22"/>
        </w:rPr>
      </w:pPr>
    </w:p>
    <w:sectPr w:rsidR="0075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4FA0" w14:textId="77777777" w:rsidR="00051510" w:rsidRDefault="00051510">
      <w:pPr>
        <w:spacing w:after="0" w:line="240" w:lineRule="auto"/>
      </w:pPr>
      <w:r>
        <w:separator/>
      </w:r>
    </w:p>
  </w:endnote>
  <w:endnote w:type="continuationSeparator" w:id="0">
    <w:p w14:paraId="7D48116C" w14:textId="77777777" w:rsidR="00051510" w:rsidRDefault="0005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roman"/>
    <w:pitch w:val="variable"/>
  </w:font>
  <w:font w:name="DaxCondensed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C765" w14:textId="77777777"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0D4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ADF2483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DE0F37F" wp14:editId="79EA17E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30572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9D4AD72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4D6851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McivMb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D8873DB" w14:textId="582965B5" w:rsidR="00757E0C" w:rsidRDefault="004E1D52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Deliberação n.º 11 da CPUA-CAU/PR, de 22 de </w:t>
    </w:r>
    <w:r>
      <w:rPr>
        <w:rFonts w:ascii="Times New Roman" w:eastAsia="DaxCondensed" w:hAnsi="Times New Roman" w:cs="DaxCondensed"/>
        <w:b/>
        <w:color w:val="A6A6A6"/>
        <w:sz w:val="18"/>
        <w:szCs w:val="18"/>
      </w:rPr>
      <w:t>junho</w:t>
    </w:r>
    <w:bookmarkStart w:id="0" w:name="_GoBack"/>
    <w:bookmarkEnd w:id="0"/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287B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BDCAE22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4A36DFB" wp14:editId="2CBEFC1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44AA59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34821FA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4D6851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OSGd4v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C1111B7" w14:textId="77777777"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43BE" w14:textId="77777777" w:rsidR="00051510" w:rsidRDefault="00051510">
      <w:pPr>
        <w:spacing w:after="0" w:line="240" w:lineRule="auto"/>
      </w:pPr>
      <w:r>
        <w:separator/>
      </w:r>
    </w:p>
  </w:footnote>
  <w:footnote w:type="continuationSeparator" w:id="0">
    <w:p w14:paraId="20DF828A" w14:textId="77777777" w:rsidR="00051510" w:rsidRDefault="0005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B9A8" w14:textId="77777777" w:rsidR="004E1D52" w:rsidRDefault="004E1D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E396" w14:textId="77777777"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28DE4FBB" wp14:editId="73A57300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4E1D52">
      <w:rPr>
        <w:rFonts w:ascii="Calibri" w:hAnsi="Calibri" w:cs="Calibri"/>
        <w:b/>
        <w:bCs/>
        <w:noProof/>
        <w:sz w:val="20"/>
        <w:szCs w:val="24"/>
      </w:rPr>
      <w:t>1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4E1D52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14:paraId="5B2ACB7B" w14:textId="77777777"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D39BE70" wp14:editId="1B4B96B2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D9EA41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03FC88AC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727B8D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" o:allowincell="f" filled="f" stroked="f" strokeweight="0">
              <v:textbox inset="0,0,0,0">
                <w:txbxContent>
                  <w:p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AB92" w14:textId="77777777" w:rsidR="004E1D52" w:rsidRDefault="004E1D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C"/>
    <w:rsid w:val="00051510"/>
    <w:rsid w:val="002C7AA6"/>
    <w:rsid w:val="003E1F24"/>
    <w:rsid w:val="003E42E5"/>
    <w:rsid w:val="0044401E"/>
    <w:rsid w:val="0047506B"/>
    <w:rsid w:val="004E1D52"/>
    <w:rsid w:val="00757E0C"/>
    <w:rsid w:val="00964D0E"/>
    <w:rsid w:val="00B41142"/>
    <w:rsid w:val="00C021BF"/>
    <w:rsid w:val="00D169AA"/>
    <w:rsid w:val="00D47F68"/>
    <w:rsid w:val="00D673E2"/>
    <w:rsid w:val="00DC54D6"/>
    <w:rsid w:val="00EF5B98"/>
    <w:rsid w:val="00F31BF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63F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9677-73F0-4042-B024-E242153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2021-10-26T13:05:00Z</cp:lastPrinted>
  <dcterms:created xsi:type="dcterms:W3CDTF">2023-06-27T15:50:00Z</dcterms:created>
  <dcterms:modified xsi:type="dcterms:W3CDTF">2023-06-28T12:59:00Z</dcterms:modified>
  <dc:language>pt-BR</dc:language>
</cp:coreProperties>
</file>