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/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06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814"/>
        <w:gridCol w:w="3466"/>
        <w:gridCol w:w="1012"/>
        <w:gridCol w:w="2777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ind w:left="86" w:hanging="0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86" w:hanging="0"/>
              <w:rPr/>
            </w:pPr>
            <w:r>
              <w:rPr/>
              <w:t>22 de junho de</w:t>
            </w:r>
            <w:r>
              <w:rPr>
                <w:spacing w:val="16"/>
              </w:rPr>
              <w:t xml:space="preserve"> </w:t>
            </w:r>
            <w:r>
              <w:rPr/>
              <w:t>2023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ind w:left="84" w:hanging="0"/>
              <w:rPr>
                <w:b/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84" w:hanging="0"/>
              <w:rPr>
                <w:spacing w:val="16"/>
              </w:rPr>
            </w:pPr>
            <w:r>
              <w:rPr>
                <w:spacing w:val="16"/>
              </w:rPr>
              <w:t>14h às 15h25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ind w:left="86" w:hanging="0"/>
              <w:rPr>
                <w:b/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86" w:hanging="0"/>
              <w:rPr/>
            </w:pPr>
            <w:r>
              <w:rPr/>
              <w:t>Reunião - Formato online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814"/>
        <w:gridCol w:w="4466"/>
        <w:gridCol w:w="2790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ind w:left="107" w:hanging="0"/>
              <w:rPr>
                <w:b/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113" w:hanging="0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4"/>
                <w:shd w:fill="FFFFFF" w:val="clear"/>
              </w:rPr>
            </w:pPr>
            <w:r>
              <w:rPr>
                <w:spacing w:val="4"/>
                <w:shd w:fill="FFFFFF" w:val="clear"/>
              </w:rPr>
              <w:t xml:space="preserve">  </w:t>
            </w:r>
            <w:r>
              <w:rPr>
                <w:color w:val="000000"/>
                <w:spacing w:val="4"/>
                <w:shd w:fill="FFFFFF" w:val="clear"/>
              </w:rPr>
              <w:t>Constança Lacerda Camargo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>Coord.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pacing w:val="4"/>
                <w:shd w:fill="FFFFFF" w:val="clear"/>
              </w:rPr>
            </w:pPr>
            <w:r>
              <w:rPr>
                <w:spacing w:val="4"/>
                <w:shd w:fill="FFFFFF" w:val="clear"/>
              </w:rPr>
              <w:t xml:space="preserve">  </w:t>
            </w:r>
            <w:r>
              <w:rPr>
                <w:spacing w:val="4"/>
                <w:shd w:fill="FFFFFF" w:val="clear"/>
              </w:rPr>
              <w:t>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 xml:space="preserve">  </w:t>
            </w:r>
            <w:r>
              <w:rPr>
                <w:color w:val="000000"/>
                <w:spacing w:val="4"/>
                <w:shd w:fill="FFFFFF" w:val="clear"/>
              </w:rPr>
              <w:t>Leonardo Danielli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ind w:left="107" w:hanging="0"/>
              <w:rPr>
                <w:b/>
                <w:b/>
              </w:rPr>
            </w:pPr>
            <w:r>
              <w:rPr>
                <w:b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Francine Cláudia Kosciuv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ind w:left="107" w:hanging="0"/>
              <w:rPr>
                <w:b/>
                <w:b/>
              </w:rPr>
            </w:pPr>
            <w:r>
              <w:rPr>
                <w:b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</w:rPr>
              <w:t>Aprovação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Súmula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pacing w:lineRule="exact" w:line="210"/>
              <w:ind w:left="112" w:hanging="0"/>
              <w:rPr>
                <w:b/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70" w:hanging="0"/>
              <w:jc w:val="both"/>
              <w:rPr/>
            </w:pPr>
            <w:r>
              <w:rPr/>
              <w:t>A Súmula da 5°reunião já se encontra aprovada e publicada no site do CAU.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113" w:right="170" w:hanging="113"/>
              <w:jc w:val="both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70" w:hanging="0"/>
              <w:jc w:val="both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>
            <w:pPr>
              <w:pStyle w:val="Corpodotexto"/>
              <w:widowControl w:val="false"/>
              <w:ind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871"/>
        <w:gridCol w:w="7198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10"/>
              <w:ind w:left="113" w:right="170" w:hanging="0"/>
              <w:rPr>
                <w:b/>
                <w:b/>
                <w:bCs/>
                <w:w w:val="99"/>
              </w:rPr>
            </w:pPr>
            <w:r>
              <w:rPr>
                <w:b/>
                <w:bCs/>
                <w:color w:val="000000"/>
                <w:w w:val="99"/>
              </w:rPr>
              <w:t xml:space="preserve">Informe: </w:t>
            </w:r>
            <w:r>
              <w:rPr>
                <w:b/>
                <w:bCs/>
                <w:color w:val="212121"/>
                <w:w w:val="99"/>
              </w:rPr>
              <w:t>Del. n° 12/2023 CEF/BR- Orientações sobre documentos de identificação, vistos, vistos temporários e autorização de residência de imigrantes para registro profissional no CAU.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19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rPr/>
            </w:pPr>
            <w:r>
              <w:rPr/>
              <w:t>CEF/BR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13" w:hanging="0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Eduardo Verri Lopes/ Francine Kosciuv- Assistente</w:t>
            </w:r>
          </w:p>
        </w:tc>
      </w:tr>
      <w:tr>
        <w:trPr>
          <w:trHeight w:val="737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19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Orientar que, para fins de registro profissional definitivo ou temporário de imigrante no CAU, poderão ser considerados como documento oficial de identificação com foto: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a) carteira de identidade de estrangeiro (CIE) vigente;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b) carteira de registro nacional migratório (CRNM) vigente; ou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c) documento provisório de registro nacional migratório (DPRNM)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Vistos: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d) visto temporário ou autorização de residência para pesquisa, ensino ou extensão acadêmica;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e) visto temporário ou autorização de residência para acolhida humanitária;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f) visto temporário ou autorização de residência para trabalho;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g) visto temporário ou autorização de residência para férias-trabalho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871"/>
        <w:gridCol w:w="7198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10"/>
              <w:ind w:left="113" w:right="170" w:hanging="0"/>
              <w:rPr>
                <w:b/>
                <w:b/>
                <w:bCs/>
                <w:color w:val="000000"/>
                <w:w w:val="99"/>
              </w:rPr>
            </w:pPr>
            <w:r>
              <w:rPr>
                <w:b/>
                <w:bCs/>
                <w:color w:val="000000"/>
                <w:w w:val="99"/>
              </w:rPr>
              <w:t>Programação: Concurso de Cartazes e Prêmio TCC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19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rPr>
                <w:lang w:val="fr-FR"/>
              </w:rPr>
            </w:pPr>
            <w:r>
              <w:rPr>
                <w:lang w:val="fr-FR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13" w:hanging="0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Eduardo Verri Lopes</w:t>
            </w:r>
          </w:p>
        </w:tc>
      </w:tr>
      <w:tr>
        <w:trPr>
          <w:trHeight w:val="737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19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Será oficializado o evento através de uma Deliberação só reiterando a programação já feita anteriormente com os valores determinados para as seis categorias, após encaminhar para a CPFi e seguir para aprovação na plenária de 23/06/2023. Também será necessário fazer alguns ajustes no edital sobre o concurso de Cartazes. Sobre o concurso de TFG, continuam com as comissões de avaliação. A Cons. Constança já manifestou que estará disponível para a avaliação, e o Cons. Eduardo para a organização dos trabalhos. Entenderam que alguns alunos não consigam participar este ano devido o prazo mais curto, e será necessário um documento confirmando que o trabalho está aprovado em banca. O prazo para entrega até às 14h procura antecipar problemas no sistema, permitindo correções durante o período da tarde, e também dá mais tempo para a análise. O Concurso de cartazes será publicado no início de julho, com resultados em agosto, e o concurso de TFG, na sequência, com premiação na última plenária em dezembro deste ano.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71"/>
        <w:gridCol w:w="7254"/>
      </w:tblGrid>
      <w:tr>
        <w:trPr>
          <w:trHeight w:val="287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/>
              <w:ind w:left="113" w:right="170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Enquete sobre Contribuições - EMAU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25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rPr>
                <w:color w:val="000000"/>
              </w:rPr>
            </w:pPr>
            <w:r>
              <w:rPr>
                <w:color w:val="000000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2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pacing w:lineRule="exact" w:line="210"/>
              <w:ind w:left="113" w:hanging="0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Eduardo Verri Lopes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25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A CEP/PR solicitou retorno das contribuições sobre EMAU e Empresas Juniores e teremos uma reunião conjunta com a CEP/PR a ser marcada para julho.</w:t>
            </w:r>
          </w:p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A CEP/PR, com base no questionamento enviado no ano de 2022 aos coordenadores sobre a existência ou não de EMAU/ Empresa Juniores, quis retomar o assunto, solicitando um posicionamento. A assessoria da CEF/PR fez novo envio da solicitação e deu um prazo de 15 dias para retorno, recebendo algumas respostas e também dúvidas. O coordenador sugeriu uma divisão de tarefas para que um dos membros ficasse de revisar estas contribuições/ retorno dos coordenadores. Caso seja necessária uma reunião com os coordenadores e a CEP, será feita após o estudo das contribuições pela cons. Constança e cons. Leonardo.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71"/>
        <w:gridCol w:w="7261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  <w:w w:val="99"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pacing w:lineRule="exact" w:line="21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Enquete sobre Estágios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rPr/>
            </w:pPr>
            <w:r>
              <w:rPr/>
              <w:t>CEF/PR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13" w:hanging="0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Leonardo Danielli</w:t>
            </w:r>
          </w:p>
        </w:tc>
      </w:tr>
      <w:tr>
        <w:trPr>
          <w:trHeight w:val="1191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Foi apresentado ao Conselho Diretor, solicitou o envio aos todos os conselheiros e entidades. Alguns retornos foram recebidos dos conselheiros e sugeriram colocar um campo “outros” para completar, por exemplo nas atividades que desenvolvem. O cons. Leonardo sugeriu ajustar para ter respostas mais objetivas, caso contrário ficaria difícil determinar, ajustar questões para que sejam relevantes e facilite a conferência final. Também levantou a hipótese de inserir o os campos de atribuições e inseri-las para selecionar o que executa, com o intuito de saber a área que atua.</w:t>
            </w:r>
          </w:p>
        </w:tc>
      </w:tr>
    </w:tbl>
    <w:p>
      <w:pPr>
        <w:pStyle w:val="Normal"/>
        <w:spacing w:before="5" w:after="1"/>
        <w:rPr/>
      </w:pPr>
      <w:r>
        <w:rPr/>
      </w:r>
    </w:p>
    <w:tbl>
      <w:tblPr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71"/>
        <w:gridCol w:w="7261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  <w:w w:val="99"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pacing w:lineRule="exact" w:line="210"/>
              <w:ind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Encontro de Coordenadores das CEFs - Aracaju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rPr/>
            </w:pPr>
            <w:r>
              <w:rPr/>
              <w:t>CEF/BR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0"/>
              <w:rPr>
                <w:b/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13" w:hanging="0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Eduardo Verri Lopes</w:t>
            </w:r>
          </w:p>
        </w:tc>
      </w:tr>
      <w:tr>
        <w:trPr>
          <w:trHeight w:val="794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113" w:right="113" w:hanging="0"/>
              <w:jc w:val="both"/>
              <w:rPr/>
            </w:pPr>
            <w:r>
              <w:rPr/>
              <w:t>Ficou definido que a participação da CEF/PR, será remota para não comprometer a participação de três membros da CEF para o seminário em São Paulo. Vai enviar um e-mail a CEF/BR e gabinete para ciência.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/>
      </w:pPr>
      <w:r>
        <w:rPr>
          <w:sz w:val="22"/>
          <w:szCs w:val="22"/>
        </w:rPr>
        <w:t xml:space="preserve">Curitiba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PR),</w:t>
      </w:r>
      <w:r>
        <w:rPr>
          <w:spacing w:val="-2"/>
          <w:sz w:val="22"/>
          <w:szCs w:val="22"/>
        </w:rPr>
        <w:t xml:space="preserve"> 22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junho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2023.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Assistente da CEF- 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spacing w:before="80" w:after="1"/>
        <w:ind w:right="3" w:hanging="0"/>
        <w:rPr/>
      </w:pPr>
      <w:r>
        <w:rPr>
          <w:sz w:val="22"/>
          <w:szCs w:val="22"/>
        </w:rPr>
        <w:t>6ª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2023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  <w:t>Videoconferência/ híbrida</w:t>
      </w:r>
    </w:p>
    <w:p>
      <w:pPr>
        <w:pStyle w:val="Corpodotexto"/>
        <w:spacing w:before="1" w:after="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44"/>
        <w:gridCol w:w="3767"/>
        <w:gridCol w:w="805"/>
        <w:gridCol w:w="885"/>
        <w:gridCol w:w="881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1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</w:rPr>
              <w:t>Folha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602" w:hanging="0"/>
              <w:rPr>
                <w:b/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73" w:hanging="0"/>
              <w:rPr>
                <w:b/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90" w:hanging="0"/>
              <w:rPr>
                <w:b/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14" w:hanging="0"/>
              <w:rPr>
                <w:b/>
                <w:b/>
              </w:rPr>
            </w:pPr>
            <w:r>
              <w:rPr>
                <w:b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52" w:hanging="0"/>
              <w:rPr>
                <w:b/>
                <w:b/>
              </w:rPr>
            </w:pPr>
            <w:r>
              <w:rPr>
                <w:b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hanging="0"/>
              <w:rPr/>
            </w:pPr>
            <w:r>
              <w:rPr/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113" w:hanging="0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/>
              <w:ind w:left="107" w:hanging="0"/>
              <w:jc w:val="center"/>
              <w:rPr/>
            </w:pPr>
            <w:r>
              <w:rPr/>
              <w:t>x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hanging="0"/>
              <w:rPr/>
            </w:pPr>
            <w:r>
              <w:rPr/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pacing w:val="4"/>
                <w:shd w:fill="FFFFFF" w:val="clear"/>
              </w:rPr>
            </w:pPr>
            <w:r>
              <w:rPr>
                <w:spacing w:val="4"/>
                <w:shd w:fill="FFFFFF" w:val="clear"/>
              </w:rPr>
              <w:t xml:space="preserve">  </w:t>
            </w:r>
            <w:r>
              <w:rPr>
                <w:color w:val="000000"/>
                <w:spacing w:val="4"/>
                <w:shd w:fill="FFFFFF" w:val="clear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/>
              <w:ind w:left="107" w:hanging="0"/>
              <w:jc w:val="center"/>
              <w:rPr/>
            </w:pPr>
            <w:r>
              <w:rPr/>
              <w:t>x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hanging="0"/>
              <w:rPr/>
            </w:pPr>
            <w:r>
              <w:rPr/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pacing w:val="4"/>
                <w:shd w:fill="FFFFFF" w:val="clear"/>
              </w:rPr>
            </w:pPr>
            <w:r>
              <w:rPr>
                <w:spacing w:val="4"/>
                <w:shd w:fill="FFFFFF" w:val="clear"/>
              </w:rPr>
              <w:t xml:space="preserve">  </w:t>
            </w:r>
            <w:r>
              <w:rPr>
                <w:spacing w:val="4"/>
                <w:shd w:fill="FFFFFF" w:val="clear"/>
              </w:rPr>
              <w:t>André Luiz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/>
              <w:ind w:left="107" w:hanging="0"/>
              <w:jc w:val="center"/>
              <w:rPr/>
            </w:pPr>
            <w:r>
              <w:rPr/>
              <w:t>x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hanging="0"/>
              <w:rPr/>
            </w:pPr>
            <w:r>
              <w:rPr/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 xml:space="preserve">  </w:t>
            </w:r>
            <w:r>
              <w:rPr>
                <w:color w:val="000000"/>
                <w:spacing w:val="4"/>
                <w:shd w:fill="FFFFFF" w:val="clear"/>
              </w:rPr>
              <w:t>Leonardo Danielli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/>
              <w:ind w:left="107" w:hanging="0"/>
              <w:jc w:val="center"/>
              <w:rPr/>
            </w:pPr>
            <w:r>
              <w:rPr/>
              <w:t>x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hanging="0"/>
              <w:rPr/>
            </w:pPr>
            <w:r>
              <w:rPr/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10"/>
              <w:ind w:left="105" w:hanging="0"/>
              <w:rPr>
                <w:spacing w:val="4"/>
                <w:shd w:fill="FFFFFF" w:val="clear"/>
              </w:rPr>
            </w:pPr>
            <w:r>
              <w:rPr>
                <w:spacing w:val="4"/>
                <w:shd w:fill="FFFFFF" w:val="clear"/>
              </w:rPr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/>
              <w:ind w:left="107" w:hanging="0"/>
              <w:jc w:val="center"/>
              <w:rPr/>
            </w:pPr>
            <w:r>
              <w:rPr/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>Histórico</w:t>
            </w:r>
            <w:r>
              <w:rPr>
                <w:spacing w:val="-3"/>
              </w:rPr>
              <w:t xml:space="preserve"> </w:t>
            </w:r>
            <w:r>
              <w:rPr/>
              <w:t>da</w:t>
            </w:r>
            <w:r>
              <w:rPr>
                <w:spacing w:val="-3"/>
              </w:rPr>
              <w:t xml:space="preserve"> </w:t>
            </w:r>
            <w:r>
              <w:rPr/>
              <w:t>votação: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 6</w:t>
            </w:r>
            <w:r>
              <w:rPr>
                <w:b/>
                <w:bCs/>
                <w:spacing w:val="-3"/>
              </w:rPr>
              <w:t xml:space="preserve">° </w:t>
            </w:r>
            <w:r>
              <w:rPr>
                <w:b/>
                <w:bCs/>
              </w:rPr>
              <w:t>R</w:t>
            </w:r>
            <w:r>
              <w:rPr>
                <w:b/>
              </w:rPr>
              <w:t>EUNIÃO ORDINÁRIA 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CEF - CAU/PR</w:t>
            </w:r>
          </w:p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>Data:</w:t>
            </w:r>
            <w:r>
              <w:rPr>
                <w:spacing w:val="-3"/>
              </w:rPr>
              <w:t xml:space="preserve"> 22/06/2023</w:t>
            </w:r>
          </w:p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>Matéria em votação: Aprovação da súmula n°06 – Reunião ordinária - CEF/PR</w:t>
            </w:r>
          </w:p>
          <w:p>
            <w:pPr>
              <w:pStyle w:val="TableParagraph"/>
              <w:widowControl w:val="false"/>
              <w:spacing w:before="120" w:after="0"/>
              <w:rPr/>
            </w:pPr>
            <w:r>
              <w:rPr>
                <w:bCs/>
              </w:rPr>
              <w:t>Resultado da votação:</w:t>
            </w:r>
            <w:r>
              <w:rPr>
                <w:b/>
              </w:rPr>
              <w:t xml:space="preserve"> Sim </w:t>
            </w:r>
            <w:r>
              <w:rPr/>
              <w:t xml:space="preserve">( x ), </w:t>
            </w:r>
            <w:r>
              <w:rPr>
                <w:b/>
              </w:rPr>
              <w:t xml:space="preserve">Não </w:t>
            </w:r>
            <w:r>
              <w:rPr/>
              <w:t xml:space="preserve">(0), </w:t>
            </w:r>
            <w:r>
              <w:rPr>
                <w:b/>
              </w:rPr>
              <w:t xml:space="preserve">Abstenção </w:t>
            </w:r>
            <w:r>
              <w:rPr/>
              <w:t xml:space="preserve">(0), </w:t>
            </w:r>
            <w:r>
              <w:rPr>
                <w:b/>
              </w:rPr>
              <w:t xml:space="preserve">Ausência </w:t>
            </w:r>
            <w:r>
              <w:rPr/>
              <w:t xml:space="preserve">(  ) de </w:t>
            </w:r>
            <w:r>
              <w:rPr>
                <w:b/>
              </w:rPr>
              <w:t xml:space="preserve">Total: </w:t>
            </w:r>
            <w:r>
              <w:rPr>
                <w:b/>
                <w:bCs/>
              </w:rPr>
              <w:t>(4  ) Conselheiros.</w:t>
            </w:r>
          </w:p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 xml:space="preserve">Ocorrências: </w:t>
            </w:r>
            <w:r>
              <w:rPr>
                <w:b/>
                <w:bCs/>
              </w:rPr>
              <w:t>Nenhuma.</w:t>
            </w:r>
          </w:p>
          <w:p>
            <w:pPr>
              <w:pStyle w:val="TableParagraph"/>
              <w:widowControl w:val="false"/>
              <w:spacing w:before="120" w:after="240"/>
              <w:rPr/>
            </w:pPr>
            <w:r>
              <w:rPr>
                <w:b/>
              </w:rPr>
              <w:t>Assistente:</w:t>
            </w:r>
            <w:r>
              <w:rPr>
                <w:b/>
                <w:spacing w:val="-2"/>
              </w:rPr>
              <w:t xml:space="preserve"> Francine Cláudia Kosciuv -</w:t>
            </w:r>
            <w:r>
              <w:rPr>
                <w:b/>
              </w:rPr>
              <w:t xml:space="preserve"> Condução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(Coord.): </w:t>
            </w:r>
            <w:r>
              <w:rPr/>
              <w:t>Eduardo Verri Lopes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5" w:gutter="0" w:header="437" w:top="1701" w:footer="1327" w:bottom="1701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48025" cy="25400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7560" cy="253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/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98.9pt;margin-top:64.5pt;width:255.65pt;height:19.9pt;mso-wrap-style:square;v-text-anchor:top;mso-position-horizontal:center;mso-position-horizontal-relative:margin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/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000FF"/>
      <w:u w:val="single"/>
    </w:rPr>
  </w:style>
  <w:style w:type="character" w:styleId="MenoPendente1" w:customStyle="1">
    <w:name w:val="Menção Pendente1"/>
    <w:basedOn w:val="DefaultParagraphFont"/>
    <w:qFormat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rPr>
      <w:color w:val="800080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4BEC-76F2-4E4D-871C-10828C6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Application>LibreOffice/7.2.2.2$Windows_X86_64 LibreOffice_project/02b2acce88a210515b4a5bb2e46cbfb63fe97d56</Application>
  <AppVersion>15.0000</AppVersion>
  <Pages>4</Pages>
  <Words>766</Words>
  <Characters>4312</Characters>
  <CharactersWithSpaces>5000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2022-11-30T14:43:00Z</dcterms:created>
  <dc:creator>Luciana Leite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2022-05-16T13:35:00Z</cp:lastPrinted>
  <dcterms:modified xsi:type="dcterms:W3CDTF">2023-08-03T10:48:00Z</dcterms:modified>
  <cp:revision>153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