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47D4B">
        <w:trPr>
          <w:trHeight w:val="250"/>
          <w:jc w:val="center"/>
        </w:trPr>
        <w:tc>
          <w:tcPr>
            <w:tcW w:w="9124" w:type="dxa"/>
            <w:shd w:val="clear" w:color="auto" w:fill="auto"/>
            <w:vAlign w:val="center"/>
          </w:tcPr>
          <w:p w:rsidR="00947D4B" w:rsidRDefault="00FA304B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5ª REUNIÃO ORDINÁRIA 2023 DA CPUA-CAU/PR</w:t>
            </w:r>
          </w:p>
        </w:tc>
      </w:tr>
    </w:tbl>
    <w:p w:rsidR="00947D4B" w:rsidRDefault="00947D4B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5"/>
        <w:gridCol w:w="3374"/>
        <w:gridCol w:w="979"/>
        <w:gridCol w:w="2883"/>
      </w:tblGrid>
      <w:tr w:rsidR="00947D4B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47D4B" w:rsidRDefault="00FA304B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25 de maio de 2023</w:t>
            </w:r>
          </w:p>
        </w:tc>
        <w:tc>
          <w:tcPr>
            <w:tcW w:w="97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47D4B" w:rsidRDefault="00FA304B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10h às 12:30h</w:t>
            </w:r>
          </w:p>
        </w:tc>
      </w:tr>
      <w:tr w:rsidR="00947D4B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47D4B" w:rsidRDefault="00FA304B"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Híbrida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plataforma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>na  ACIC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 - Associação Comercial e Industrial de Cascavel. </w:t>
            </w: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  <w:lang w:eastAsia="en-US"/>
              </w:rPr>
              <w:t>Endereço: R. Pernambuco, 1800 - Centro, Cascavel - PR</w:t>
            </w:r>
          </w:p>
        </w:tc>
      </w:tr>
    </w:tbl>
    <w:p w:rsidR="00947D4B" w:rsidRDefault="00947D4B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59"/>
        <w:gridCol w:w="3825"/>
      </w:tblGrid>
      <w:tr w:rsidR="00E10AC3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10AC3" w:rsidRDefault="00E10AC3" w:rsidP="00E10AC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0AC3" w:rsidRDefault="00E10AC3" w:rsidP="00E10AC3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10AC3" w:rsidRDefault="00E10AC3" w:rsidP="00E10AC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E10AC3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10AC3" w:rsidRDefault="00E10AC3" w:rsidP="00E10AC3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10AC3" w:rsidRDefault="00E10AC3" w:rsidP="00E10AC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10AC3" w:rsidRDefault="00E10AC3" w:rsidP="00E10AC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Adjunto</w:t>
            </w:r>
          </w:p>
        </w:tc>
      </w:tr>
      <w:tr w:rsidR="00E10AC3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E10AC3" w:rsidRDefault="00E10AC3" w:rsidP="00E10AC3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10AC3" w:rsidRDefault="00E10AC3" w:rsidP="00E10AC3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10AC3" w:rsidRDefault="00E10AC3" w:rsidP="00E10AC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E10AC3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10AC3" w:rsidRDefault="00E10AC3" w:rsidP="00E10AC3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10AC3" w:rsidRDefault="00E10AC3" w:rsidP="00E10AC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10AC3" w:rsidRDefault="00E10AC3" w:rsidP="00E10AC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E10AC3">
        <w:trPr>
          <w:trHeight w:hRule="exact" w:val="283"/>
          <w:jc w:val="center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E10AC3" w:rsidRDefault="00E10AC3" w:rsidP="00E10AC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10AC3" w:rsidRDefault="00E10AC3" w:rsidP="00E10AC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Nakano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E10AC3" w:rsidRDefault="00E10AC3" w:rsidP="00E10AC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 da CPUA-CAU/PR</w:t>
            </w:r>
          </w:p>
        </w:tc>
      </w:tr>
    </w:tbl>
    <w:p w:rsidR="00947D4B" w:rsidRDefault="00947D4B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Leitura e aprovação da Súmula da reunião anterior</w:t>
            </w:r>
          </w:p>
        </w:tc>
      </w:tr>
      <w:tr w:rsidR="00947D4B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aprovada a Súmula da Reunião Ordinária nº 3/2023 e 4/2023 e a súmula n°3 e 4 da Reunião interna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ComOrg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 w:rsidR="00E10AC3" w:rsidRPr="00E10AC3">
              <w:rPr>
                <w:rFonts w:ascii="Times New Roman" w:hAnsi="Times New Roman"/>
                <w:sz w:val="22"/>
                <w:szCs w:val="22"/>
              </w:rPr>
              <w:t xml:space="preserve">Seminário Internacional </w:t>
            </w:r>
            <w:proofErr w:type="spellStart"/>
            <w:r w:rsidR="00E10AC3" w:rsidRPr="00E10AC3">
              <w:rPr>
                <w:rFonts w:ascii="Times New Roman" w:hAnsi="Times New Roman"/>
                <w:sz w:val="22"/>
                <w:szCs w:val="22"/>
              </w:rPr>
              <w:t>Re-Naturalização</w:t>
            </w:r>
            <w:proofErr w:type="spellEnd"/>
            <w:r w:rsidR="00E10AC3" w:rsidRPr="00E10AC3">
              <w:rPr>
                <w:rFonts w:ascii="Times New Roman" w:hAnsi="Times New Roman"/>
                <w:sz w:val="22"/>
                <w:szCs w:val="22"/>
              </w:rPr>
              <w:t xml:space="preserve"> das Cidades e Redução da Crise </w:t>
            </w:r>
            <w:proofErr w:type="spellStart"/>
            <w:r w:rsidR="00E10AC3" w:rsidRPr="00E10AC3">
              <w:rPr>
                <w:rFonts w:ascii="Times New Roman" w:hAnsi="Times New Roman"/>
                <w:sz w:val="22"/>
                <w:szCs w:val="22"/>
              </w:rPr>
              <w:t>Sócio-Ambiental</w:t>
            </w:r>
            <w:proofErr w:type="spellEnd"/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947D4B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947D4B">
        <w:trPr>
          <w:trHeight w:val="268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p w:rsidR="00947D4B" w:rsidRDefault="00FA304B">
            <w:pPr>
              <w:keepLines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 reunião se iniciou às 10:00 e se estendeu com a anuência de todos os presentes até às 12:30. Por motivo de agenda o conselheiro VERRI justificou a ausência.</w:t>
            </w:r>
          </w:p>
        </w:tc>
      </w:tr>
    </w:tbl>
    <w:p w:rsidR="00947D4B" w:rsidRDefault="00947D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947D4B" w:rsidRDefault="00FA304B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>
        <w:trPr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947D4B" w:rsidRDefault="00FA304B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SOLUÇÕES BASEADAS NA NATUREZA/CIDADES SAUDÁVEIS</w:t>
            </w:r>
          </w:p>
        </w:tc>
      </w:tr>
      <w:tr w:rsidR="00947D4B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B076C3" w:rsidRDefault="00FA304B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eastAsia="en-US"/>
              </w:rPr>
            </w:pPr>
            <w:r w:rsidRPr="00B076C3">
              <w:rPr>
                <w:rFonts w:ascii="Times New Roman" w:eastAsia="Calibri" w:hAnsi="Times New Roman"/>
                <w:bCs/>
                <w:color w:val="000000"/>
                <w:sz w:val="22"/>
                <w:szCs w:val="22"/>
                <w:lang w:eastAsia="en-US"/>
              </w:rPr>
              <w:t>CPUA-CAUPR</w:t>
            </w:r>
          </w:p>
        </w:tc>
      </w:tr>
      <w:tr w:rsidR="00947D4B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947D4B">
        <w:trPr>
          <w:trHeight w:val="311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ORMY comentou a reunião que a CPUA teve com o Presidente MILTON, onde foi definido:</w:t>
            </w:r>
          </w:p>
          <w:p w:rsidR="00947D4B" w:rsidRDefault="00FA304B">
            <w:pPr>
              <w:pStyle w:val="TextosemFormatao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coffee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break será reduzido pela metade dos participantes inscritos para reduzir gastos </w:t>
            </w:r>
          </w:p>
          <w:p w:rsidR="00947D4B" w:rsidRDefault="00FA304B">
            <w:pPr>
              <w:pStyle w:val="TextosemFormatao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convidados receberão até duas diárias estaduais. Convidados internacionais receberão diária internacional, sendo que a quantidade a ser definido;</w:t>
            </w:r>
          </w:p>
          <w:p w:rsidR="00947D4B" w:rsidRDefault="00FA304B">
            <w:pPr>
              <w:pStyle w:val="TextosemFormatao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evento já tem 50 inscritos, que receberão informes do evento;</w:t>
            </w:r>
          </w:p>
          <w:p w:rsidR="00947D4B" w:rsidRDefault="00FA304B">
            <w:pPr>
              <w:pStyle w:val="TextosemFormatao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Todos os convites às instituições deverão propor a possibilidade de um acordo de termo de cooperação (ACT), como, por exemplo, uma cadeira em uma Comissão da OAB;</w:t>
            </w:r>
          </w:p>
          <w:p w:rsidR="00947D4B" w:rsidRDefault="00FA304B">
            <w:pPr>
              <w:pStyle w:val="TextosemFormatao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perguntas aos convidados durante o evento serão feitas de forma remota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whatsapp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QRCode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), cabendo ao mediador analisar e proceder com a pergunta;</w:t>
            </w:r>
          </w:p>
          <w:p w:rsidR="00947D4B" w:rsidRDefault="00FA304B">
            <w:pPr>
              <w:pStyle w:val="TextosemFormatao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setor de comunicação vai fazer um levantamento de todos os custos do evento até agora para saber quem mais será convidado.</w:t>
            </w:r>
          </w:p>
          <w:p w:rsidR="00947D4B" w:rsidRDefault="00FA304B">
            <w:pPr>
              <w:pStyle w:val="TextosemFormatao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Falta definir todas as entidades da mesa de abertura;</w:t>
            </w:r>
          </w:p>
          <w:p w:rsidR="00947D4B" w:rsidRDefault="00FA304B">
            <w:pPr>
              <w:pStyle w:val="TextosemFormatao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Sílvio de almeida confirmou fazer a palestra de abertura;</w:t>
            </w:r>
          </w:p>
          <w:p w:rsidR="00947D4B" w:rsidRDefault="00FA304B">
            <w:pPr>
              <w:pStyle w:val="TextosemFormatao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vai ter transmissão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por conta da conexão do MON;</w:t>
            </w:r>
          </w:p>
          <w:p w:rsidR="00947D4B" w:rsidRDefault="00FA304B">
            <w:pPr>
              <w:pStyle w:val="TextosemFormatao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 quarta de manhã vai ter apresentação de artigos e a tarde apresentação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de Cases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 Em ambas as sessões haverá uma mesa de discussão;</w:t>
            </w:r>
          </w:p>
          <w:p w:rsidR="00947D4B" w:rsidRDefault="00FA304B" w:rsidP="00E10AC3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GUSTAVO externou e deixou registrado que está i</w:t>
            </w:r>
            <w:r w:rsidR="00E10AC3">
              <w:rPr>
                <w:rFonts w:ascii="Times New Roman" w:hAnsi="Times New Roman"/>
                <w:sz w:val="22"/>
                <w:szCs w:val="22"/>
              </w:rPr>
              <w:t>nsatisfeito e preocupado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 a locação dos recursos financeiros destinados ao evento e não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à organização do evento. Segundo o conselheiro, há a questão dos problemas de conexão do MON que irá resultar na incapacidade de transmissão online do evento, visto que estava claro que um dos requisitos para a escolha do local era poder contar com uma internet de qualidade. Fiscalizar e ter uma máquina enxuta e menos burocrática e fazer eventos é um dos motivos da existência do CAUPR. Desta forma, diminuir as diárias dos convidados pela metade ou pagar uma diária </w:t>
            </w:r>
            <w:r w:rsidR="009566B6">
              <w:rPr>
                <w:rFonts w:ascii="Times New Roman" w:hAnsi="Times New Roman"/>
                <w:sz w:val="22"/>
                <w:szCs w:val="22"/>
              </w:rPr>
              <w:t>para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trabalhar com um orçamento R$140 mil, sabendo que </w:t>
            </w:r>
            <w:r w:rsidR="00E10AC3">
              <w:rPr>
                <w:rFonts w:ascii="Times New Roman" w:hAnsi="Times New Roman"/>
                <w:sz w:val="22"/>
                <w:szCs w:val="22"/>
              </w:rPr>
              <w:t xml:space="preserve">quase sempre </w:t>
            </w:r>
            <w:r w:rsidR="009566B6">
              <w:rPr>
                <w:rFonts w:ascii="Times New Roman" w:hAnsi="Times New Roman"/>
                <w:sz w:val="22"/>
                <w:szCs w:val="22"/>
              </w:rPr>
              <w:t>a</w:t>
            </w:r>
            <w:r w:rsidR="00E10AC3">
              <w:rPr>
                <w:rFonts w:ascii="Times New Roman" w:hAnsi="Times New Roman"/>
                <w:sz w:val="22"/>
                <w:szCs w:val="22"/>
              </w:rPr>
              <w:t xml:space="preserve"> sobra de recursos e este é destinado para patrimônio e todo ano havendo superávit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nas contas, sabendo que há regras para reprogramação que poderiam ser realocados para trazer mais convidados para discutir 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renaturalização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das cidade</w:t>
            </w:r>
            <w:r w:rsidR="00F91A85">
              <w:rPr>
                <w:rFonts w:ascii="Times New Roman" w:hAnsi="Times New Roman"/>
                <w:sz w:val="22"/>
                <w:szCs w:val="22"/>
              </w:rPr>
              <w:t>s, é um tema</w:t>
            </w:r>
            <w:r w:rsidR="00E10AC3">
              <w:rPr>
                <w:rFonts w:ascii="Times New Roman" w:hAnsi="Times New Roman"/>
                <w:sz w:val="22"/>
                <w:szCs w:val="22"/>
              </w:rPr>
              <w:t xml:space="preserve"> preocupante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No quesito recursos financeiros o conselheiro </w:t>
            </w:r>
            <w:r w:rsidR="00E10AC3">
              <w:rPr>
                <w:rFonts w:ascii="Times New Roman" w:hAnsi="Times New Roman"/>
                <w:sz w:val="22"/>
                <w:szCs w:val="22"/>
              </w:rPr>
              <w:t xml:space="preserve">MAUGHAM </w:t>
            </w:r>
            <w:r>
              <w:rPr>
                <w:rFonts w:ascii="Times New Roman" w:hAnsi="Times New Roman"/>
                <w:sz w:val="22"/>
                <w:szCs w:val="22"/>
              </w:rPr>
              <w:t>comentou uma reunião que teve para uma transposição de recurso da fiscalização para fazer um edital de brindes de 300 mil reais, e neste caso a alegação de não ter dinheiro para atividade-fim do CAU, considerando a discussão e propostas bem fundamentadas que serão apresentadas, faz com que o CAU precise repensar no que conselho vai investir em conhecimento ou em brindes. Para o conselheiro ORMY a discussão do planejamento estratégico deste ano deve propor recursos compatíveis com a importância dos eventos, com a experiência de</w:t>
            </w:r>
            <w:r w:rsidR="00185CDB">
              <w:rPr>
                <w:rFonts w:ascii="Times New Roman" w:hAnsi="Times New Roman"/>
                <w:sz w:val="22"/>
                <w:szCs w:val="22"/>
              </w:rPr>
              <w:t>ste evento e de outros passados, 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ara quem assumir essa comissão na próxima </w:t>
            </w:r>
            <w:r w:rsidR="00185CDB">
              <w:rPr>
                <w:rFonts w:ascii="Times New Roman" w:hAnsi="Times New Roman"/>
                <w:sz w:val="22"/>
                <w:szCs w:val="22"/>
              </w:rPr>
              <w:t>gestão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não ter percalços orçamentários, pois este evento poderia ter sido divulgado e planejado há mais tempo e sem a preocupação a falta de público por conta de do preço das passagens e da proximidade do mesmo. 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5"/>
      </w:tblGrid>
      <w:tr w:rsidR="00947D4B">
        <w:trPr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947D4B" w:rsidRDefault="00FA304B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2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E10AC3" w:rsidRDefault="00FA304B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E10AC3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Revisão do REURB</w:t>
            </w:r>
          </w:p>
        </w:tc>
      </w:tr>
      <w:tr w:rsidR="00947D4B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CPUA-CAUPR</w:t>
            </w:r>
          </w:p>
        </w:tc>
      </w:tr>
      <w:tr w:rsidR="00947D4B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</w:tr>
      <w:tr w:rsidR="00947D4B">
        <w:trPr>
          <w:trHeight w:val="2545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47D4B" w:rsidRDefault="00FA304B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Segundo MAUGHAM a regularização fundiária é necessária, mas equipes multidisciplinares têm se colocado como solucionadores desta questão, mas poucas têm arquitetos ou engenheiros. Curitiba está segurando esta questão para que não ocorra de forma errada. É preciso marcar uma conversa com o Presidente MILTON para que CAUPR se posicione mais forte com relação ao REURB e que o arquiteto é o mais preparado para coordenar a PL na Prefeitura de Curitiba.</w:t>
            </w:r>
          </w:p>
          <w:p w:rsidR="00947D4B" w:rsidRDefault="00FA304B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GUSTAVO sugeriu um encaminhamento diferente: o de ter um acordo de cooperação técnica (ACT) com a OAB, fazer um grupo de trabalho e tomar uma posição e entrar em contato com a prefeitura e OAB.</w:t>
            </w:r>
          </w:p>
          <w:p w:rsidR="00947D4B" w:rsidRDefault="00FA304B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Ficou definido a criação de uma força tarefa inicialmente com os conselheiros: GUSTAVO, MAUGHAM e JULIANO (suplente do Conselheiro ORMY), para analisar o PL e montar um documento para ser apresentado à CPUA e depois à plenária para assim, ser encaminhado à Prefeitura de Curitiba.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947D4B" w:rsidRDefault="00FA304B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3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9566B6" w:rsidRDefault="00FA304B">
            <w:pPr>
              <w:spacing w:line="21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9566B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Carta aos eleitos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9566B6" w:rsidRDefault="00FA304B">
            <w:pPr>
              <w:keepLines/>
              <w:suppressAutoHyphens w:val="0"/>
              <w:ind w:right="139"/>
              <w:contextualSpacing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566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CPUA-CAUPR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</w:tr>
      <w:tr w:rsidR="00947D4B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GUSTAVO se comprometeu a fazer um documento com o conselheiro VERRI com duas laudas, amarrando a carta aos candidatos, a carta da macha aos prefeitos, o documento do licenciamento digital responsável e a carta de ATHIS.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947D4B">
        <w:trPr>
          <w:trHeight w:val="34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9566B6" w:rsidRDefault="00FA304B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en-US"/>
              </w:rPr>
            </w:pPr>
            <w:r w:rsidRPr="009566B6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en-US"/>
              </w:rPr>
              <w:t>Planos Diretores Municipais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9566B6" w:rsidRDefault="00FA304B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566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CPUA-CAUPR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</w:tr>
      <w:tr w:rsidR="00947D4B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GUSTAVO comentou uma decisão da ministra ROSA WEBER, em que os conselhos municipais têm que ser paritários e não pode ter diminuição da participação das pessoas e isso reflete nas decisões dos últimos presidentes do Brasil, que reduziram as conferências nacionais e das cidades nos últimos anos, mas também as conferências e conselhos estaduais, como por exemplo a perda nas cadeiras do COLIT. </w:t>
            </w:r>
          </w:p>
          <w:p w:rsidR="00947D4B" w:rsidRDefault="00FA304B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MAUGHAM comentou o convite que recebeu juntamente com o conselheiro GUSTAVO para ver o a apresentação do plano de mobilidade da Prefeitura de Colombo, que resultou um convite para participar do conselho das cidades que está sendo criado e comunicou que se for acatado indicação ocupará a cadeira.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947D4B" w:rsidRDefault="0013637A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5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9566B6" w:rsidRDefault="00FA304B">
            <w:pPr>
              <w:spacing w:line="21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9566B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ATHIS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9566B6" w:rsidRDefault="00FA304B">
            <w:pPr>
              <w:keepLines/>
              <w:suppressAutoHyphens w:val="0"/>
              <w:ind w:right="139"/>
              <w:contextualSpacing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</w:pPr>
            <w:r w:rsidRPr="009566B6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CPUA-CAUPR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9566B6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566B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Vandines</w:t>
            </w:r>
            <w:proofErr w:type="spellEnd"/>
            <w:r w:rsidRPr="009566B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6B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Gremaschi</w:t>
            </w:r>
            <w:proofErr w:type="spellEnd"/>
            <w:r w:rsidRPr="009566B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566B6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Canassa</w:t>
            </w:r>
            <w:proofErr w:type="spellEnd"/>
          </w:p>
        </w:tc>
      </w:tr>
      <w:tr w:rsidR="00947D4B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VANDINÊS comunicou que está tentando marcar uma reunião com o SINDUSCON e com a diretoria de relações institucionais que manifestaram interesse no banco de materiais. 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947D4B" w:rsidRDefault="0013637A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9566B6" w:rsidRDefault="00FA304B">
            <w:pPr>
              <w:pStyle w:val="Corpodetexto"/>
              <w:spacing w:after="0" w:line="210" w:lineRule="exact"/>
              <w:jc w:val="both"/>
              <w:rPr>
                <w:rFonts w:ascii="Times New Roman" w:hAnsi="Times New Roman" w:cs="Arial"/>
                <w:b/>
                <w:color w:val="424242"/>
                <w:sz w:val="22"/>
                <w:szCs w:val="22"/>
              </w:rPr>
            </w:pPr>
            <w:r w:rsidRPr="009566B6">
              <w:rPr>
                <w:rFonts w:ascii="Times New Roman" w:hAnsi="Times New Roman" w:cs="Arial"/>
                <w:b/>
                <w:color w:val="424242"/>
                <w:sz w:val="22"/>
                <w:szCs w:val="22"/>
                <w:shd w:val="clear" w:color="auto" w:fill="FFFFFF"/>
                <w:lang w:eastAsia="en-US"/>
              </w:rPr>
              <w:t>Lei Machuca de Incentivo ao Planejamento Urbano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pStyle w:val="Corpodetexto"/>
              <w:keepLines/>
              <w:suppressAutoHyphens w:val="0"/>
              <w:spacing w:after="0"/>
              <w:ind w:right="139"/>
              <w:contextualSpacing/>
              <w:rPr>
                <w:rFonts w:ascii="Times New Roman" w:hAnsi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424242"/>
                <w:sz w:val="22"/>
                <w:szCs w:val="22"/>
                <w:shd w:val="clear" w:color="auto" w:fill="FFFFFF"/>
                <w:lang w:eastAsia="en-US"/>
              </w:rPr>
              <w:t>PRESIDÊNCIA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spacing w:line="210" w:lineRule="exact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Linzmeyer</w:t>
            </w:r>
            <w:proofErr w:type="spellEnd"/>
          </w:p>
        </w:tc>
      </w:tr>
      <w:tr w:rsidR="00947D4B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Segundo o Conselheiro GUSTAVO, foi um e-mail enviado encaminhado pela Presidência relacionada a um projeto da ONU desenvolvido na Vila Pinto. Segundo o conselheiro MAUGHAM o projeto não está bem claro sugere que seja enviado um documento para ser mais aprofundado e colocando a CPUA a disposição.</w:t>
            </w:r>
          </w:p>
          <w:p w:rsidR="00947D4B" w:rsidRDefault="00FA304B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DELIBERA:</w:t>
            </w:r>
          </w:p>
          <w:p w:rsidR="00947D4B" w:rsidRDefault="00FA304B">
            <w:pPr>
              <w:pStyle w:val="PargrafodaLista"/>
              <w:numPr>
                <w:ilvl w:val="0"/>
                <w:numId w:val="2"/>
              </w:numPr>
              <w:tabs>
                <w:tab w:val="left" w:pos="851"/>
                <w:tab w:val="left" w:pos="12780"/>
              </w:tabs>
              <w:spacing w:line="276" w:lineRule="auto"/>
              <w:ind w:left="454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Arial"/>
                <w:bCs/>
                <w:spacing w:val="4"/>
                <w:sz w:val="22"/>
                <w:szCs w:val="22"/>
                <w:lang w:eastAsia="en-US"/>
              </w:rPr>
              <w:t>Aprovado pela maioria dos presentes que s</w:t>
            </w:r>
            <w:r w:rsidR="00185CDB">
              <w:rPr>
                <w:rFonts w:ascii="Times New Roman" w:eastAsiaTheme="minorHAnsi" w:hAnsi="Times New Roman" w:cs="Arial"/>
                <w:bCs/>
                <w:spacing w:val="4"/>
                <w:sz w:val="22"/>
                <w:szCs w:val="22"/>
                <w:lang w:eastAsia="en-US"/>
              </w:rPr>
              <w:t>eja solicitado um documento com</w:t>
            </w:r>
            <w:r>
              <w:rPr>
                <w:rFonts w:ascii="Times New Roman" w:eastAsiaTheme="minorHAnsi" w:hAnsi="Times New Roman" w:cs="Arial"/>
                <w:bCs/>
                <w:spacing w:val="4"/>
                <w:sz w:val="22"/>
                <w:szCs w:val="22"/>
                <w:lang w:eastAsia="en-US"/>
              </w:rPr>
              <w:t xml:space="preserve"> mais informações para aprofundar sobre o tema.</w:t>
            </w:r>
          </w:p>
          <w:p w:rsidR="00947D4B" w:rsidRDefault="00FA304B">
            <w:pPr>
              <w:pStyle w:val="PargrafodaLista"/>
              <w:numPr>
                <w:ilvl w:val="0"/>
                <w:numId w:val="2"/>
              </w:numPr>
              <w:tabs>
                <w:tab w:val="left" w:pos="851"/>
                <w:tab w:val="left" w:pos="12780"/>
              </w:tabs>
              <w:spacing w:line="276" w:lineRule="auto"/>
              <w:ind w:left="454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Arial"/>
                <w:bCs/>
                <w:spacing w:val="4"/>
                <w:sz w:val="22"/>
                <w:szCs w:val="22"/>
                <w:lang w:eastAsia="en-US"/>
              </w:rPr>
              <w:t>Informar que CPUA-CAUPR está à disposição para debate do projeto de lei;</w:t>
            </w:r>
          </w:p>
          <w:p w:rsidR="00947D4B" w:rsidRDefault="00FA304B">
            <w:pPr>
              <w:pStyle w:val="PargrafodaLista"/>
              <w:numPr>
                <w:ilvl w:val="0"/>
                <w:numId w:val="2"/>
              </w:numPr>
              <w:tabs>
                <w:tab w:val="left" w:pos="851"/>
                <w:tab w:val="left" w:pos="12780"/>
              </w:tabs>
              <w:spacing w:line="276" w:lineRule="auto"/>
              <w:ind w:left="454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Encaminhar esta Deliberação à Presidência do CAU/PR para ciência e os devidos encaminhamentos.</w:t>
            </w:r>
          </w:p>
          <w:p w:rsidR="00947D4B" w:rsidRDefault="00FA304B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Deliberação nº 8/2023 CPUA-CAU/PR 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13637A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7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9566B6" w:rsidRDefault="00FA304B">
            <w:pPr>
              <w:pStyle w:val="Corpodetexto"/>
              <w:spacing w:before="57" w:after="57" w:line="210" w:lineRule="exact"/>
              <w:jc w:val="both"/>
              <w:rPr>
                <w:rFonts w:ascii="Times New Roman" w:hAnsi="Times New Roman" w:cs="Arial"/>
                <w:b/>
                <w:color w:val="424242"/>
                <w:sz w:val="22"/>
                <w:szCs w:val="22"/>
              </w:rPr>
            </w:pPr>
            <w:r w:rsidRPr="009566B6">
              <w:rPr>
                <w:rFonts w:ascii="Times New Roman" w:eastAsia="Times New Roman" w:hAnsi="Times New Roman" w:cs="Arial"/>
                <w:b/>
                <w:color w:val="424242"/>
                <w:sz w:val="22"/>
                <w:szCs w:val="22"/>
                <w:shd w:val="clear" w:color="auto" w:fill="FFFFFF"/>
                <w:lang w:eastAsia="en-US"/>
              </w:rPr>
              <w:t>Cobrar a presidência um assessor parlamentar ou propor que os conselheiros do interior façam acordos de cooperação técnica (ACT) com as prefeituras ou outros órgãos.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CPUA-CAUPR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Maugham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Zaze</w:t>
            </w:r>
            <w:proofErr w:type="spellEnd"/>
          </w:p>
        </w:tc>
      </w:tr>
      <w:tr w:rsidR="00947D4B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Segundo o MAUGHAM em conversa com a presidência foi informado que alguns funcionários sofreram acidentes que dificultaram realocar alguém para fazer os acordos de cooperação técnica e enquanto a presidência não indica um nome para ocupar o cargo de assessor parlamentar por conta disso acha viável que os conselheiros tenham respaldo da presidência de fazer estes acordos por conta dos cont</w:t>
            </w:r>
            <w:r w:rsidR="009566B6">
              <w:rPr>
                <w:rFonts w:ascii="Times New Roman" w:hAnsi="Times New Roman"/>
                <w:sz w:val="22"/>
                <w:szCs w:val="22"/>
              </w:rPr>
              <w:t xml:space="preserve">atos que podem ser concretizados junto as prefeituras, câmaras </w:t>
            </w:r>
            <w:r w:rsidR="009566B6">
              <w:rPr>
                <w:rFonts w:ascii="Times New Roman" w:hAnsi="Times New Roman"/>
                <w:sz w:val="22"/>
                <w:szCs w:val="22"/>
              </w:rPr>
              <w:lastRenderedPageBreak/>
              <w:t>de vereadores, ALEP ou outros órgãos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p w:rsidR="00947D4B" w:rsidRDefault="00947D4B">
      <w:pPr>
        <w:rPr>
          <w:rFonts w:ascii="Times New Roman" w:hAnsi="Times New Roman"/>
          <w:sz w:val="22"/>
          <w:szCs w:val="22"/>
        </w:rPr>
      </w:pPr>
    </w:p>
    <w:p w:rsidR="00947D4B" w:rsidRDefault="00947D4B">
      <w:pPr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12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947D4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A304B" w:rsidRDefault="00FA304B" w:rsidP="00FA304B">
            <w:pPr>
              <w:suppressAutoHyphens w:val="0"/>
              <w:spacing w:after="183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 LEOCÁDIO HUTNER JÚNIOR</w:t>
            </w:r>
          </w:p>
          <w:p w:rsidR="00947D4B" w:rsidRDefault="00FA304B" w:rsidP="00FA304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Coordenador  CPUA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D4B" w:rsidRDefault="00FA304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:rsidR="00947D4B" w:rsidRDefault="00947D4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47D4B" w:rsidRDefault="00FA304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CPUA-CAU/PR</w:t>
            </w:r>
          </w:p>
        </w:tc>
      </w:tr>
    </w:tbl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FA304B">
      <w:pPr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5ª REUNIÃO ORDINÁRIA 2023 DA CPUA-CAU/PR</w:t>
      </w:r>
    </w:p>
    <w:p w:rsidR="00947D4B" w:rsidRDefault="00FA304B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947D4B" w:rsidRDefault="00947D4B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</w:p>
    <w:p w:rsidR="00947D4B" w:rsidRDefault="00FA304B">
      <w:pPr>
        <w:spacing w:befor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947D4B"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947D4B"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bCs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</w:tr>
      <w:tr w:rsidR="00947D4B">
        <w:trPr>
          <w:trHeight w:val="20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47D4B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947D4B" w:rsidRDefault="00FA304B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Pr="009566B6">
              <w:rPr>
                <w:rFonts w:ascii="Times New Roman" w:eastAsia="Cambria" w:hAnsi="Times New Roman"/>
                <w:b/>
                <w:sz w:val="22"/>
                <w:szCs w:val="22"/>
              </w:rPr>
              <w:t>5</w:t>
            </w:r>
            <w:r w:rsidRPr="009566B6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 REUNIÃO ORDINÁRIA 2023 DA CPUA-CAU/PR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25/05/2023</w:t>
            </w:r>
          </w:p>
          <w:p w:rsidR="00947D4B" w:rsidRDefault="00FA304B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n°3 da Reunião interna da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ComOrg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 Seminário Internacional sobre Naturalização das Cidades e os desafios para Redução das Desigualdades.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(2),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(2),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(1)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  <w:r w:rsidR="009566B6">
              <w:rPr>
                <w:rFonts w:ascii="Times New Roman" w:eastAsia="Cambria" w:hAnsi="Times New Roman"/>
                <w:sz w:val="22"/>
                <w:szCs w:val="22"/>
              </w:rPr>
              <w:t xml:space="preserve"> nenhuma</w:t>
            </w:r>
          </w:p>
          <w:p w:rsidR="00947D4B" w:rsidRDefault="00FA304B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Assistência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</w:t>
            </w:r>
            <w:r w:rsidRPr="009566B6">
              <w:rPr>
                <w:rFonts w:ascii="Times New Roman" w:eastAsia="Cambria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Condução Trabalhos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FA304B">
      <w:pPr>
        <w:spacing w:befor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947D4B"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947D4B"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bCs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</w:tr>
      <w:tr w:rsidR="00947D4B">
        <w:trPr>
          <w:trHeight w:val="20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47D4B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947D4B" w:rsidRDefault="00FA304B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Pr="009566B6">
              <w:rPr>
                <w:rFonts w:ascii="Times New Roman" w:eastAsia="Cambria" w:hAnsi="Times New Roman"/>
                <w:b/>
                <w:sz w:val="22"/>
                <w:szCs w:val="22"/>
              </w:rPr>
              <w:t>5</w:t>
            </w:r>
            <w:r w:rsidRPr="009566B6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 REUNIÃO ORDINÁRIA 2023 DA CPUA-CAU/PR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</w:t>
            </w:r>
            <w:r w:rsidR="00B076C3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5</w:t>
            </w:r>
            <w:r w:rsidR="00445D90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/05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/2023</w:t>
            </w:r>
          </w:p>
          <w:p w:rsidR="00947D4B" w:rsidRDefault="00FA304B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n°4 da Reunião interna da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ComOrg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 Seminário Internacional sobre Naturalização das Cidades e os desafios para Redução das Desigualdades.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(2),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(2),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(1)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  <w:r w:rsidR="009566B6">
              <w:rPr>
                <w:rFonts w:ascii="Times New Roman" w:eastAsia="Cambria" w:hAnsi="Times New Roman"/>
                <w:sz w:val="22"/>
                <w:szCs w:val="22"/>
              </w:rPr>
              <w:t xml:space="preserve"> nenhuma</w:t>
            </w:r>
          </w:p>
          <w:p w:rsidR="00947D4B" w:rsidRDefault="00FA304B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Assistência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</w:t>
            </w:r>
            <w:r w:rsidRPr="009566B6">
              <w:rPr>
                <w:rFonts w:ascii="Times New Roman" w:eastAsia="Cambria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Condução Trabalhos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FA304B">
      <w:pPr>
        <w:spacing w:befor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947D4B"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947D4B"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47D4B" w:rsidRPr="009566B6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947D4B" w:rsidRPr="009566B6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bCs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947D4B" w:rsidRPr="009566B6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 w:rsidRPr="009566B6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 w:rsidRPr="009566B6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</w:tr>
      <w:tr w:rsidR="00947D4B">
        <w:trPr>
          <w:trHeight w:val="20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47D4B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947D4B" w:rsidRDefault="00FA304B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Pr="009566B6">
              <w:rPr>
                <w:rFonts w:ascii="Times New Roman" w:eastAsia="Cambria" w:hAnsi="Times New Roman"/>
                <w:b/>
                <w:sz w:val="22"/>
                <w:szCs w:val="22"/>
              </w:rPr>
              <w:t>5</w:t>
            </w:r>
            <w:r w:rsidRPr="009566B6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 REUNIÃO ORDINÁRIA 2023 DA CPUA-CAU/PR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="00445D90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25</w:t>
            </w:r>
            <w:r w:rsidR="00B076C3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/05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/2023</w:t>
            </w:r>
          </w:p>
          <w:p w:rsidR="00947D4B" w:rsidRDefault="00FA304B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Súmula da Reunião Ordinária nº 3/2023 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(3),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(1),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(1)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  <w:r w:rsidR="009566B6">
              <w:rPr>
                <w:rFonts w:ascii="Times New Roman" w:eastAsia="Cambria" w:hAnsi="Times New Roman"/>
                <w:sz w:val="22"/>
                <w:szCs w:val="22"/>
              </w:rPr>
              <w:t xml:space="preserve"> nenhuma</w:t>
            </w:r>
          </w:p>
          <w:p w:rsidR="00947D4B" w:rsidRDefault="00FA304B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Assistência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</w:t>
            </w:r>
            <w:r w:rsidRPr="009566B6">
              <w:rPr>
                <w:rFonts w:ascii="Times New Roman" w:eastAsia="Cambria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Condução Trabalhos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:rsidR="00947D4B" w:rsidRDefault="00947D4B">
      <w:pPr>
        <w:widowControl/>
        <w:suppressAutoHyphens w:val="0"/>
        <w:jc w:val="right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FA304B">
      <w:pPr>
        <w:spacing w:befor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947D4B"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947D4B"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bCs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</w:tr>
      <w:tr w:rsidR="00947D4B">
        <w:trPr>
          <w:trHeight w:val="20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47D4B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947D4B" w:rsidRDefault="00FA304B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Pr="00B076C3">
              <w:rPr>
                <w:rFonts w:ascii="Times New Roman" w:eastAsia="Cambria" w:hAnsi="Times New Roman"/>
                <w:b/>
                <w:sz w:val="22"/>
                <w:szCs w:val="22"/>
              </w:rPr>
              <w:t>5</w:t>
            </w:r>
            <w:r w:rsidRPr="00B076C3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 REUNIÃO ORDINÁRIA 2023 DA CPUA-CAU/PR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="00B076C3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25/05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/2023</w:t>
            </w:r>
          </w:p>
          <w:p w:rsidR="00947D4B" w:rsidRDefault="00FA304B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Súmula da Reunião Ordinária nº 4/2023 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(2),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(2),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(1)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  <w:r w:rsidR="009566B6">
              <w:rPr>
                <w:rFonts w:ascii="Times New Roman" w:eastAsia="Cambria" w:hAnsi="Times New Roman"/>
                <w:sz w:val="22"/>
                <w:szCs w:val="22"/>
              </w:rPr>
              <w:t xml:space="preserve"> nenhuma</w:t>
            </w:r>
          </w:p>
          <w:p w:rsidR="00947D4B" w:rsidRDefault="00FA304B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Assistência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</w:t>
            </w:r>
            <w:r w:rsidRPr="009566B6">
              <w:rPr>
                <w:rFonts w:ascii="Times New Roman" w:eastAsia="Cambria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Condução Trabalhos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:rsidR="00947D4B" w:rsidRDefault="00947D4B">
      <w:pPr>
        <w:widowControl/>
        <w:suppressAutoHyphens w:val="0"/>
        <w:jc w:val="right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FA304B">
      <w:pPr>
        <w:spacing w:befor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947D4B"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947D4B"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bCs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</w:tr>
      <w:tr w:rsidR="00947D4B">
        <w:trPr>
          <w:trHeight w:val="20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47D4B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947D4B" w:rsidRDefault="00FA304B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Pr="009566B6">
              <w:rPr>
                <w:rFonts w:ascii="Times New Roman" w:eastAsia="Cambria" w:hAnsi="Times New Roman"/>
                <w:b/>
                <w:sz w:val="22"/>
                <w:szCs w:val="22"/>
              </w:rPr>
              <w:t>5</w:t>
            </w:r>
            <w:r w:rsidRPr="009566B6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 REUNIÃO ORDINÁRIA 2023 DA CPUA-CAU/PR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="00B076C3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25/05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/2023</w:t>
            </w:r>
          </w:p>
          <w:p w:rsidR="00947D4B" w:rsidRDefault="00FA304B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Matéria em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Lei Machuca de Incentivo ao Planejamento Urbano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(1)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  <w:r w:rsidR="009566B6">
              <w:rPr>
                <w:rFonts w:ascii="Times New Roman" w:eastAsia="Cambria" w:hAnsi="Times New Roman"/>
                <w:sz w:val="22"/>
                <w:szCs w:val="22"/>
              </w:rPr>
              <w:t xml:space="preserve"> nenhuma</w:t>
            </w:r>
          </w:p>
          <w:p w:rsidR="00947D4B" w:rsidRDefault="00FA304B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Assistência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</w:t>
            </w:r>
            <w:r w:rsidRPr="009566B6">
              <w:rPr>
                <w:rFonts w:ascii="Times New Roman" w:eastAsia="Cambria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Condução Trabalhos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:rsidR="00947D4B" w:rsidRDefault="00947D4B">
      <w:pPr>
        <w:widowControl/>
        <w:suppressAutoHyphens w:val="0"/>
        <w:jc w:val="right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FA304B">
      <w:pPr>
        <w:spacing w:befor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6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947D4B"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947D4B"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bCs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 w:rsidTr="009566B6">
        <w:trPr>
          <w:trHeight w:val="70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Pr="009566B6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</w:tr>
      <w:tr w:rsidR="00947D4B">
        <w:trPr>
          <w:trHeight w:val="20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47D4B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947D4B" w:rsidRDefault="00FA304B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Histórico da votação: </w:t>
            </w:r>
            <w:r w:rsidRPr="009566B6">
              <w:rPr>
                <w:rFonts w:ascii="Times New Roman" w:eastAsia="Cambria" w:hAnsi="Times New Roman"/>
                <w:b/>
                <w:sz w:val="22"/>
                <w:szCs w:val="22"/>
              </w:rPr>
              <w:t>5</w:t>
            </w:r>
            <w:r w:rsidRPr="009566B6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 REUNIÃO ORDINÁRIA 2023 DA CPUA-CAU/PR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="00445D90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25/05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/2023</w:t>
            </w:r>
          </w:p>
          <w:p w:rsidR="00947D4B" w:rsidRPr="00DF3421" w:rsidRDefault="00FA304B">
            <w:pPr>
              <w:spacing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Matéria em votação</w:t>
            </w:r>
            <w:r w:rsidRPr="00DF3421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: </w:t>
            </w:r>
            <w:r w:rsidRPr="00DF3421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Revisão do REURB (criar um fórum interno)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="00ED7916">
              <w:rPr>
                <w:rFonts w:ascii="Times New Roman" w:eastAsia="Cambria" w:hAnsi="Times New Roman"/>
                <w:sz w:val="22"/>
                <w:szCs w:val="22"/>
              </w:rPr>
              <w:t>(4</w:t>
            </w:r>
            <w:bookmarkStart w:id="0" w:name="_GoBack"/>
            <w:bookmarkEnd w:id="0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="00B076C3">
              <w:rPr>
                <w:rFonts w:ascii="Times New Roman" w:eastAsia="Cambria" w:hAnsi="Times New Roman"/>
                <w:sz w:val="22"/>
                <w:szCs w:val="22"/>
              </w:rPr>
              <w:t xml:space="preserve"> (0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(1)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 w:rsidRPr="009566B6">
              <w:rPr>
                <w:rFonts w:ascii="Times New Roman" w:eastAsia="Cambria" w:hAnsi="Times New Roman"/>
                <w:bCs/>
                <w:sz w:val="22"/>
                <w:szCs w:val="22"/>
              </w:rPr>
              <w:t>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  <w:r w:rsidR="009566B6">
              <w:rPr>
                <w:rFonts w:ascii="Times New Roman" w:eastAsia="Cambria" w:hAnsi="Times New Roman"/>
                <w:sz w:val="22"/>
                <w:szCs w:val="22"/>
              </w:rPr>
              <w:t xml:space="preserve"> nenhuma</w:t>
            </w:r>
          </w:p>
          <w:p w:rsidR="00947D4B" w:rsidRDefault="00FA304B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66B6">
              <w:rPr>
                <w:rFonts w:ascii="Times New Roman" w:eastAsia="Cambria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Assistência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</w:t>
            </w:r>
            <w:r w:rsidRPr="009566B6">
              <w:rPr>
                <w:rFonts w:ascii="Times New Roman" w:eastAsia="Cambria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Condução Trabalhos</w:t>
            </w: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:rsidR="00947D4B" w:rsidRDefault="00947D4B">
      <w:pPr>
        <w:widowControl/>
        <w:suppressAutoHyphens w:val="0"/>
        <w:jc w:val="right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sectPr w:rsidR="00947D4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18" w:rsidRDefault="00FA304B">
      <w:r>
        <w:separator/>
      </w:r>
    </w:p>
  </w:endnote>
  <w:endnote w:type="continuationSeparator" w:id="0">
    <w:p w:rsidR="00C26A18" w:rsidRDefault="00FA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4B" w:rsidRDefault="00947D4B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4B" w:rsidRDefault="00FA304B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:rsidR="00947D4B" w:rsidRDefault="00FA304B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:rsidR="00947D4B" w:rsidRDefault="00FA304B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5/2023 da CPUA-CAU/PR, de 25 de maio de 2023.</w:t>
    </w:r>
  </w:p>
  <w:p w:rsidR="00947D4B" w:rsidRDefault="00FA304B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ED7916">
      <w:rPr>
        <w:b/>
        <w:noProof/>
        <w:color w:val="006666"/>
        <w:sz w:val="18"/>
      </w:rPr>
      <w:t>6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ED7916">
      <w:rPr>
        <w:bCs/>
        <w:noProof/>
        <w:color w:val="006666"/>
        <w:sz w:val="18"/>
        <w:szCs w:val="18"/>
        <w:vertAlign w:val="subscript"/>
      </w:rPr>
      <w:t>7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4B" w:rsidRDefault="00FA304B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:rsidR="00947D4B" w:rsidRDefault="00FA304B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:rsidR="00947D4B" w:rsidRDefault="00FA304B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5/2023 da CPUA-CAU/PR, de 25 de maio de 2023.</w:t>
    </w:r>
  </w:p>
  <w:p w:rsidR="00947D4B" w:rsidRDefault="00FA304B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7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445D90">
      <w:rPr>
        <w:bCs/>
        <w:noProof/>
        <w:color w:val="006666"/>
        <w:sz w:val="18"/>
        <w:szCs w:val="18"/>
        <w:vertAlign w:val="subscript"/>
      </w:rPr>
      <w:t>7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18" w:rsidRDefault="00FA304B">
      <w:r>
        <w:separator/>
      </w:r>
    </w:p>
  </w:footnote>
  <w:footnote w:type="continuationSeparator" w:id="0">
    <w:p w:rsidR="00C26A18" w:rsidRDefault="00FA3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4B" w:rsidRDefault="00FA304B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7D4B" w:rsidRDefault="00947D4B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:rsidR="00947D4B" w:rsidRDefault="00947D4B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:rsidR="00947D4B" w:rsidRDefault="00FA304B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 w:rsidR="00947D4B" w:rsidRDefault="00947D4B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0A2A"/>
    <w:multiLevelType w:val="multilevel"/>
    <w:tmpl w:val="16F281B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73206B3D"/>
    <w:multiLevelType w:val="multilevel"/>
    <w:tmpl w:val="A9C8FAA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 w15:restartNumberingAfterBreak="0">
    <w:nsid w:val="75C43FD6"/>
    <w:multiLevelType w:val="multilevel"/>
    <w:tmpl w:val="62C21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B"/>
    <w:rsid w:val="0013637A"/>
    <w:rsid w:val="00185CDB"/>
    <w:rsid w:val="00445D90"/>
    <w:rsid w:val="004C548A"/>
    <w:rsid w:val="00947D4B"/>
    <w:rsid w:val="009566B6"/>
    <w:rsid w:val="00B076C3"/>
    <w:rsid w:val="00C26A18"/>
    <w:rsid w:val="00C667D1"/>
    <w:rsid w:val="00CA15F9"/>
    <w:rsid w:val="00DF3421"/>
    <w:rsid w:val="00E10AC3"/>
    <w:rsid w:val="00ED7916"/>
    <w:rsid w:val="00F91A85"/>
    <w:rsid w:val="00F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847F6-4CAC-4CF5-94EF-FDCC69DB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7AD8-FDE6-469D-82D1-372D0A52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1865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11/2022</vt:lpstr>
    </vt:vector>
  </TitlesOfParts>
  <Manager>Lourdes Vasselek</Manager>
  <Company/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11/2022</dc:title>
  <dc:subject>CPUA</dc:subject>
  <dc:creator>Walter Gustavo Linzmeyer</dc:creator>
  <cp:keywords>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</cp:keywords>
  <dc:description/>
  <cp:lastModifiedBy>user</cp:lastModifiedBy>
  <cp:revision>6</cp:revision>
  <cp:lastPrinted>2023-07-06T17:13:00Z</cp:lastPrinted>
  <dcterms:created xsi:type="dcterms:W3CDTF">2023-07-06T17:08:00Z</dcterms:created>
  <dcterms:modified xsi:type="dcterms:W3CDTF">2023-08-01T20:27:00Z</dcterms:modified>
  <dc:language>pt-BR</dc:language>
</cp:coreProperties>
</file>