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475F43D5" w14:textId="77777777" w:rsidTr="00B5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6F9D2F77" w14:textId="77777777" w:rsidR="00435BB2" w:rsidRDefault="00460447" w:rsidP="00B5667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C32E3EF" w14:textId="600A832F" w:rsidR="00435BB2" w:rsidRDefault="004250A4" w:rsidP="00B5667A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743813/2018</w:t>
            </w:r>
          </w:p>
        </w:tc>
      </w:tr>
      <w:tr w:rsidR="00435BB2" w14:paraId="12A8FA47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CBA0D89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8A5FB5C" w14:textId="4745D92F" w:rsidR="00435BB2" w:rsidRDefault="007B33D1" w:rsidP="004250A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</w:t>
            </w:r>
            <w:r w:rsidR="004250A4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de Fiscalização do </w:t>
            </w:r>
            <w:r w:rsidR="00460447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</w:tc>
      </w:tr>
      <w:tr w:rsidR="00435BB2" w14:paraId="586C6513" w14:textId="77777777" w:rsidTr="00B566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7962106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57DDBF7" w14:textId="58D71396" w:rsidR="00435BB2" w:rsidRDefault="004250A4" w:rsidP="0053724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Atribuição Profissional do Arquiteto e Urbanista – Torre de estruturas metálicas tipo estaiadas</w:t>
            </w:r>
            <w:r w:rsidR="00A770A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A770A2">
              <w:rPr>
                <w:rFonts w:ascii="Times New Roman" w:hAnsi="Times New Roman"/>
                <w:szCs w:val="24"/>
                <w:lang w:val="pt-PT" w:eastAsia="en-US"/>
              </w:rPr>
              <w:t>e em ferro com fundação em concreto</w:t>
            </w:r>
          </w:p>
        </w:tc>
      </w:tr>
      <w:tr w:rsidR="00435BB2" w14:paraId="168A3871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6E7BA5" w14:textId="3D4AA9F2" w:rsidR="00435BB2" w:rsidRDefault="006767AB" w:rsidP="00537241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105</w:t>
            </w:r>
            <w:r w:rsidR="0046044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46044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64F38EFE" w14:textId="0AA3498F" w:rsidR="00435BB2" w:rsidRDefault="00460447" w:rsidP="00B5667A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C4480D"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</w:t>
      </w:r>
      <w:r w:rsidR="00C4480D">
        <w:rPr>
          <w:rFonts w:ascii="Times New Roman" w:hAnsi="Times New Roman"/>
        </w:rPr>
        <w:t>mente de forma virtual</w:t>
      </w:r>
      <w:r w:rsidR="003C31F6">
        <w:rPr>
          <w:rFonts w:ascii="Times New Roman" w:hAnsi="Times New Roman"/>
        </w:rPr>
        <w:t xml:space="preserve"> no dia </w:t>
      </w:r>
      <w:r w:rsidR="006767AB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de </w:t>
      </w:r>
      <w:r w:rsidR="006767AB">
        <w:rPr>
          <w:rFonts w:ascii="Times New Roman" w:hAnsi="Times New Roman"/>
        </w:rPr>
        <w:t>jul</w:t>
      </w:r>
      <w:r w:rsidR="00C4480D">
        <w:rPr>
          <w:rFonts w:ascii="Times New Roman" w:hAnsi="Times New Roman"/>
        </w:rPr>
        <w:t>h</w:t>
      </w:r>
      <w:r w:rsidR="003C31F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007F1492" w14:textId="38742F07" w:rsidR="0025313B" w:rsidRPr="0093502C" w:rsidRDefault="006767A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Protocolo SICCAU nº 743813/2018 referente a solicitação de esclarecimento sobre se o Arquiteto e Urbanista tem atribuição em relação a torre de estruturas metálicas tipo estaiadas e em ferro com fundação em concreto;</w:t>
      </w:r>
    </w:p>
    <w:p w14:paraId="6EC18D86" w14:textId="17019162" w:rsidR="00435BB2" w:rsidRDefault="006767A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disposto na Lei Federal nº 12.378/2010 de 31 de dezembro de 2010, que em seu artigo 2º estabelece as atividades, atribuições e campos de atuação profissional do Arquiteto e Urbanista, no qual constam as atividades de projeto e execução nos campos de atuação referentes à Arquitetura e Urbanismo;</w:t>
      </w:r>
    </w:p>
    <w:p w14:paraId="29CC2058" w14:textId="50943082" w:rsidR="006767AB" w:rsidRDefault="006767A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disposto na Lei Federal nº 12.378/2010 de 31 de dezembro de 2010, que em seu artigo 3º estabelece que as atividades e atribuições dos Arquitetos e Urbanistas são definidas de acordo com os núcleos de conhecimentos de fundamentação e de conhecimentos profissionais das diretrizes curriculares nacionais pertinentes ao curso de graduação em Arquitetura e Urbanismo, definidos na Resolução nº 2 de 17/05/2010 do Conselho Nacional de Educação;</w:t>
      </w:r>
    </w:p>
    <w:p w14:paraId="6015DDF1" w14:textId="33D6E39F" w:rsidR="006767AB" w:rsidRDefault="006767A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disposto na Resolução nº 21/2012 de 05 de abril de 2012, que em seu artigo 2º</w:t>
      </w:r>
      <w:r w:rsidR="000E1D7D">
        <w:rPr>
          <w:rFonts w:ascii="Times New Roman" w:hAnsi="Times New Roman" w:cs="Times New Roman"/>
          <w:szCs w:val="24"/>
          <w:shd w:val="clear" w:color="auto" w:fill="FFFFFF"/>
        </w:rPr>
        <w:t>, parágrafo único, estabelece as atribuições de que trata este artigo aplicam-se aos seguintes campos de atuação, inciso VIII – dos sistemas construtivos e estruturais, estruturas, desenvolvimento de estruturas e aplicação tecnológica de estruturas e inciso IX – de instalações e equipamentos referentes à Arquitetura e Urban</w:t>
      </w:r>
      <w:r w:rsidR="00212211">
        <w:rPr>
          <w:rFonts w:ascii="Times New Roman" w:hAnsi="Times New Roman" w:cs="Times New Roman"/>
          <w:szCs w:val="24"/>
          <w:shd w:val="clear" w:color="auto" w:fill="FFFFFF"/>
        </w:rPr>
        <w:t>is</w:t>
      </w:r>
      <w:r w:rsidR="000E1D7D">
        <w:rPr>
          <w:rFonts w:ascii="Times New Roman" w:hAnsi="Times New Roman" w:cs="Times New Roman"/>
          <w:szCs w:val="24"/>
          <w:shd w:val="clear" w:color="auto" w:fill="FFFFFF"/>
        </w:rPr>
        <w:t>mo;</w:t>
      </w:r>
    </w:p>
    <w:p w14:paraId="240E3876" w14:textId="5F43FD49" w:rsidR="000F06B9" w:rsidRDefault="000F06B9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disposto na Resolução nº 52/2013 de 06 de setembro de 2013, item 1.2.5, estabelece que o Arquiteto e Urbanista deve considerar-se impedido de assumir responsabilidades profissionais que extrapolem os limites de suas atribuições, habilidades e competências, em seus respectivos campos de atuação;</w:t>
      </w:r>
    </w:p>
    <w:p w14:paraId="6E515854" w14:textId="77777777" w:rsidR="00435BB2" w:rsidRDefault="00460447" w:rsidP="007913B4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417F463" w14:textId="0DD8FEA0" w:rsidR="00435BB2" w:rsidRPr="0085465C" w:rsidRDefault="00212211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val="pt-PT" w:eastAsia="en-US"/>
        </w:rPr>
        <w:t>Informar ao solicitante de que os Arquitetos e Urbanistas possuem atribuiç</w:t>
      </w:r>
      <w:r w:rsidR="00C670D8">
        <w:rPr>
          <w:rFonts w:ascii="Times New Roman" w:hAnsi="Times New Roman"/>
          <w:szCs w:val="24"/>
          <w:lang w:val="pt-PT" w:eastAsia="en-US"/>
        </w:rPr>
        <w:t>ão para as atividades de torres de estruturas metálicas tipo estaiadas e em ferro com fundação em concreto;</w:t>
      </w:r>
    </w:p>
    <w:p w14:paraId="62176A42" w14:textId="02FA4F09" w:rsidR="0085465C" w:rsidRPr="005B0B39" w:rsidRDefault="0085465C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t-PT" w:eastAsia="en-US"/>
        </w:rPr>
        <w:t xml:space="preserve">Esclarecer que o Arquiteto e Urbanista somente deve assumir responsabilidades profissionais por atividades que são da sua atribuição, habilidade e competência legal, e apenas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</w:t>
      </w:r>
      <w:r w:rsidRPr="005B0B39">
        <w:rPr>
          <w:rFonts w:ascii="Times New Roman" w:hAnsi="Times New Roman"/>
          <w:szCs w:val="24"/>
          <w:lang w:val="pt-PT" w:eastAsia="en-US"/>
        </w:rPr>
        <w:t>que regulamenta a profissão e o Código de Ética e Disciplina do CAU/BR;</w:t>
      </w:r>
    </w:p>
    <w:p w14:paraId="76072DF6" w14:textId="77777777" w:rsidR="00435BB2" w:rsidRPr="005B0B39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B0B39">
        <w:rPr>
          <w:rFonts w:ascii="Times New Roman" w:hAnsi="Times New Roman"/>
          <w:szCs w:val="24"/>
        </w:rPr>
        <w:lastRenderedPageBreak/>
        <w:t>Encaminhar esta Deliberação à Presidência do CAU/PR para conhecimento.</w:t>
      </w:r>
    </w:p>
    <w:p w14:paraId="57B6B21B" w14:textId="77777777" w:rsidR="0085465C" w:rsidRPr="005B0B39" w:rsidRDefault="0085465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16DBAB9A" w14:textId="77777777" w:rsidR="0085465C" w:rsidRDefault="0085465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C7B38D2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9D0E5A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2E082612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9A93C8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7AC52C6C" w14:textId="08323967" w:rsidR="00435BB2" w:rsidRDefault="00C448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3C31F6">
        <w:rPr>
          <w:rFonts w:ascii="Times New Roman" w:hAnsi="Times New Roman" w:cs="Times New Roman"/>
          <w:szCs w:val="24"/>
        </w:rPr>
        <w:t xml:space="preserve"> (PR), </w:t>
      </w:r>
      <w:r w:rsidR="00C670D8">
        <w:rPr>
          <w:rFonts w:ascii="Times New Roman" w:hAnsi="Times New Roman" w:cs="Times New Roman"/>
          <w:szCs w:val="24"/>
        </w:rPr>
        <w:t>19</w:t>
      </w:r>
      <w:r w:rsidR="00460447">
        <w:rPr>
          <w:rFonts w:ascii="Times New Roman" w:hAnsi="Times New Roman" w:cs="Times New Roman"/>
          <w:szCs w:val="24"/>
        </w:rPr>
        <w:t xml:space="preserve"> de </w:t>
      </w:r>
      <w:r w:rsidR="00C670D8">
        <w:rPr>
          <w:rFonts w:ascii="Times New Roman" w:hAnsi="Times New Roman" w:cs="Times New Roman"/>
          <w:szCs w:val="24"/>
        </w:rPr>
        <w:t>jul</w:t>
      </w:r>
      <w:r>
        <w:rPr>
          <w:rFonts w:ascii="Times New Roman" w:hAnsi="Times New Roman" w:cs="Times New Roman"/>
          <w:szCs w:val="24"/>
        </w:rPr>
        <w:t>h</w:t>
      </w:r>
      <w:r w:rsidR="00460447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12885" w14:paraId="30CF14FF" w14:textId="77777777" w:rsidTr="005B0B39">
        <w:trPr>
          <w:trHeight w:val="2041"/>
        </w:trPr>
        <w:tc>
          <w:tcPr>
            <w:tcW w:w="4962" w:type="dxa"/>
            <w:vAlign w:val="bottom"/>
          </w:tcPr>
          <w:p w14:paraId="6F4CBA40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921DC3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98CAD11" w14:textId="77777777" w:rsidR="00112885" w:rsidRDefault="00112885" w:rsidP="00545A7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44D815F4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5B0B39" w14:paraId="12C46656" w14:textId="77777777" w:rsidTr="005B0B39">
        <w:trPr>
          <w:trHeight w:val="2041"/>
        </w:trPr>
        <w:tc>
          <w:tcPr>
            <w:tcW w:w="9752" w:type="dxa"/>
            <w:gridSpan w:val="2"/>
            <w:vAlign w:val="bottom"/>
          </w:tcPr>
          <w:p w14:paraId="7506C559" w14:textId="77777777" w:rsidR="005B0B39" w:rsidRDefault="005B0B39" w:rsidP="005B0B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24BA1BAC" w14:textId="3229C366" w:rsidR="005B0B39" w:rsidRDefault="005B0B39" w:rsidP="005B0B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B9870BC" w14:textId="77777777" w:rsidR="005B0B39" w:rsidRDefault="005B0B39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2"/>
      </w:tblGrid>
      <w:tr w:rsidR="00112885" w14:paraId="686D56C0" w14:textId="77777777" w:rsidTr="00112885">
        <w:trPr>
          <w:trHeight w:val="1871"/>
        </w:trPr>
        <w:tc>
          <w:tcPr>
            <w:tcW w:w="9752" w:type="dxa"/>
            <w:vAlign w:val="bottom"/>
          </w:tcPr>
          <w:p w14:paraId="7FBB8014" w14:textId="6DDC5A88" w:rsidR="00C670D8" w:rsidRDefault="00C670D8" w:rsidP="00C670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lastRenderedPageBreak/>
              <w:t>11ª REUNIÃO EXTRAORDINÁRIA 2023 DA CEP-CAU/PR</w:t>
            </w:r>
          </w:p>
          <w:p w14:paraId="572D74D4" w14:textId="77777777" w:rsidR="00C670D8" w:rsidRDefault="00C670D8" w:rsidP="00C670D8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Videoconferência</w:t>
            </w:r>
          </w:p>
          <w:p w14:paraId="05E7C2B5" w14:textId="77777777" w:rsidR="00C670D8" w:rsidRDefault="00C670D8" w:rsidP="00C670D8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Folha de Votação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373"/>
              <w:gridCol w:w="826"/>
              <w:gridCol w:w="2681"/>
              <w:gridCol w:w="575"/>
              <w:gridCol w:w="379"/>
              <w:gridCol w:w="442"/>
              <w:gridCol w:w="517"/>
              <w:gridCol w:w="169"/>
              <w:gridCol w:w="782"/>
              <w:gridCol w:w="948"/>
            </w:tblGrid>
            <w:tr w:rsidR="00C670D8" w14:paraId="758ED1C0" w14:textId="77777777" w:rsidTr="001E13D4">
              <w:tc>
                <w:tcPr>
                  <w:tcW w:w="2432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27255D7E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Função</w:t>
                  </w: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F80660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Conselheiros</w:t>
                  </w:r>
                </w:p>
              </w:tc>
              <w:tc>
                <w:tcPr>
                  <w:tcW w:w="3812" w:type="dxa"/>
                  <w:gridSpan w:val="7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BD7817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Votação</w:t>
                  </w:r>
                </w:p>
              </w:tc>
            </w:tr>
            <w:tr w:rsidR="00C670D8" w14:paraId="0A51999F" w14:textId="77777777" w:rsidTr="001E13D4">
              <w:tc>
                <w:tcPr>
                  <w:tcW w:w="2432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11A7F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647F5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575648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Sim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39E6390" w14:textId="77777777" w:rsidR="00C670D8" w:rsidRDefault="00C670D8" w:rsidP="00C670D8">
                  <w:pPr>
                    <w:widowControl w:val="0"/>
                    <w:spacing w:after="0"/>
                    <w:ind w:right="-44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E5E60F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Abst.</w:t>
                  </w: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BA621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Ausên.</w:t>
                  </w:r>
                </w:p>
              </w:tc>
            </w:tr>
            <w:tr w:rsidR="00C670D8" w14:paraId="6631E640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77F221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34B57BE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Walter Gustavo Linzmeyer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72053D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D3FE09C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698864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64482F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516EE65B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35B016A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 Adjunto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52030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</w:rPr>
                    <w:t>Maugham Zaze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4AA38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70E55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1AE5E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F31B6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3CC1AA0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68803C8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05D78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Ormy Leocádio Hütner Junior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A299DD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9995ED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BD7D26B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B01FD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</w:tr>
            <w:tr w:rsidR="00C670D8" w14:paraId="3A6C0DA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CA4E09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0C486848" w14:textId="77777777" w:rsidR="00C670D8" w:rsidRDefault="00C670D8" w:rsidP="00C670D8">
                  <w:pPr>
                    <w:widowControl w:val="0"/>
                    <w:spacing w:after="0"/>
                    <w:ind w:firstLine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Ricardo Luiz Leites de Oliveira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50D555D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234A0D9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AF82B73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4DA7D390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6D22362B" w14:textId="77777777" w:rsidTr="001E13D4">
              <w:trPr>
                <w:trHeight w:val="20"/>
              </w:trPr>
              <w:tc>
                <w:tcPr>
                  <w:tcW w:w="1059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54D7C5" w14:textId="77777777" w:rsidR="00C670D8" w:rsidRDefault="00C670D8" w:rsidP="00C670D8">
                  <w:pPr>
                    <w:widowControl w:val="0"/>
                    <w:spacing w:after="0"/>
                    <w:ind w:right="-108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7E6966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5C915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8A023A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2840B77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EB8B99C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B5664B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</w:tr>
            <w:tr w:rsidR="00C670D8" w14:paraId="05A007BE" w14:textId="77777777" w:rsidTr="001E13D4">
              <w:trPr>
                <w:trHeight w:val="567"/>
              </w:trPr>
              <w:tc>
                <w:tcPr>
                  <w:tcW w:w="9751" w:type="dxa"/>
                  <w:gridSpan w:val="11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2" w:space="0" w:color="000000"/>
                  </w:tcBorders>
                  <w:shd w:val="clear" w:color="auto" w:fill="D9D9FF"/>
                </w:tcPr>
                <w:p w14:paraId="5484F140" w14:textId="5B7567CE" w:rsidR="00C670D8" w:rsidRDefault="00C670D8" w:rsidP="00C670D8">
                  <w:pPr>
                    <w:widowControl w:val="0"/>
                    <w:spacing w:before="120" w:after="0"/>
                    <w:ind w:left="11" w:hanging="11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Histórico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11ª REUNIÃO EXTRAORDINÁRIA 2023 DA CEP-CAU/PR</w:t>
                  </w:r>
                </w:p>
                <w:p w14:paraId="0B28182B" w14:textId="48D90F91" w:rsidR="00C670D8" w:rsidRDefault="00C670D8" w:rsidP="00C670D8">
                  <w:pPr>
                    <w:widowControl w:val="0"/>
                    <w:tabs>
                      <w:tab w:val="center" w:pos="4763"/>
                    </w:tabs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Data: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19/07/2023</w:t>
                  </w:r>
                </w:p>
                <w:p w14:paraId="1C33DD06" w14:textId="6D754001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Matéria em votação: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 Protocolo 743813/2018</w:t>
                  </w:r>
                </w:p>
                <w:p w14:paraId="0CB2F9E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Resultado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Sim 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(3),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Abstenções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Ausências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(1) de um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Total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(4) </w:t>
                  </w:r>
                  <w:r w:rsidRPr="003C31F6"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Conselheiros</w:t>
                  </w:r>
                </w:p>
                <w:p w14:paraId="4929309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Ocorrências: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 xml:space="preserve"> Nenhuma</w:t>
                  </w:r>
                </w:p>
                <w:p w14:paraId="4C3AC4E3" w14:textId="77777777" w:rsidR="00C670D8" w:rsidRDefault="00C670D8" w:rsidP="00C670D8">
                  <w:pPr>
                    <w:widowControl w:val="0"/>
                    <w:spacing w:after="120"/>
                    <w:ind w:left="6124" w:hanging="6124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Assistência: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Tessa Paduano Rodrigues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– Condução Trabalhos: 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Walter Gustavo Linzmeyer</w:t>
                  </w:r>
                </w:p>
              </w:tc>
            </w:tr>
          </w:tbl>
          <w:p w14:paraId="3091E790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b/>
                <w:szCs w:val="14"/>
              </w:rPr>
            </w:pPr>
          </w:p>
        </w:tc>
      </w:tr>
    </w:tbl>
    <w:p w14:paraId="6E9C79C0" w14:textId="14885334" w:rsidR="00435BB2" w:rsidRPr="005B0B39" w:rsidRDefault="00435BB2" w:rsidP="005B0B39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"/>
          <w:szCs w:val="2"/>
        </w:rPr>
      </w:pPr>
    </w:p>
    <w:sectPr w:rsidR="00435BB2" w:rsidRPr="005B0B3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BDF0" w14:textId="77777777" w:rsidR="001421F0" w:rsidRDefault="001421F0">
      <w:pPr>
        <w:spacing w:after="0" w:line="240" w:lineRule="auto"/>
      </w:pPr>
      <w:r>
        <w:separator/>
      </w:r>
    </w:p>
  </w:endnote>
  <w:endnote w:type="continuationSeparator" w:id="0">
    <w:p w14:paraId="5E64B3C7" w14:textId="77777777" w:rsidR="001421F0" w:rsidRDefault="0014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F13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183" w14:textId="77777777" w:rsidR="008C14C5" w:rsidRDefault="008C14C5" w:rsidP="008C14C5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7203CC7" w14:textId="77777777" w:rsidR="008C14C5" w:rsidRDefault="008C14C5" w:rsidP="008C14C5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AC8955B" w14:textId="2A3F34DF" w:rsidR="008C14C5" w:rsidRDefault="008C14C5" w:rsidP="008C14C5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44944">
      <w:rPr>
        <w:rFonts w:ascii="DaxCondensed" w:hAnsi="DaxCondensed"/>
        <w:b/>
        <w:color w:val="A6A6A6"/>
        <w:spacing w:val="1"/>
        <w:sz w:val="18"/>
      </w:rPr>
      <w:t xml:space="preserve"> 105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44944">
      <w:rPr>
        <w:rFonts w:ascii="DaxCondensed" w:hAnsi="DaxCondensed"/>
        <w:b/>
        <w:color w:val="A6A6A6"/>
        <w:spacing w:val="-2"/>
        <w:sz w:val="18"/>
      </w:rPr>
      <w:t xml:space="preserve"> 19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44944">
      <w:rPr>
        <w:rFonts w:ascii="DaxCondensed" w:hAnsi="DaxCondensed"/>
        <w:b/>
        <w:color w:val="A6A6A6"/>
        <w:spacing w:val="-3"/>
        <w:sz w:val="18"/>
      </w:rPr>
      <w:t>julho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24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80DFB5C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B70E78A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E185" w14:textId="77777777" w:rsidR="001421F0" w:rsidRDefault="001421F0">
      <w:pPr>
        <w:spacing w:after="0" w:line="240" w:lineRule="auto"/>
      </w:pPr>
      <w:r>
        <w:separator/>
      </w:r>
    </w:p>
  </w:footnote>
  <w:footnote w:type="continuationSeparator" w:id="0">
    <w:p w14:paraId="7617B034" w14:textId="77777777" w:rsidR="001421F0" w:rsidRDefault="0014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Content>
      <w:p w14:paraId="4F7DF09B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D8D683B" wp14:editId="34E4ACF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B33D1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B33D1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D843790" w14:textId="77777777" w:rsidR="00435BB2" w:rsidRDefault="00435BB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35461031">
    <w:abstractNumId w:val="1"/>
  </w:num>
  <w:num w:numId="2" w16cid:durableId="112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0E1D7D"/>
    <w:rsid w:val="000F06B9"/>
    <w:rsid w:val="000F12A0"/>
    <w:rsid w:val="00112885"/>
    <w:rsid w:val="001421F0"/>
    <w:rsid w:val="00144944"/>
    <w:rsid w:val="0014545A"/>
    <w:rsid w:val="00212211"/>
    <w:rsid w:val="0025313B"/>
    <w:rsid w:val="003C31F6"/>
    <w:rsid w:val="004250A4"/>
    <w:rsid w:val="00435BB2"/>
    <w:rsid w:val="00460447"/>
    <w:rsid w:val="00537241"/>
    <w:rsid w:val="005B0B39"/>
    <w:rsid w:val="00667BD7"/>
    <w:rsid w:val="006767AB"/>
    <w:rsid w:val="00777B0B"/>
    <w:rsid w:val="007913B4"/>
    <w:rsid w:val="007B33D1"/>
    <w:rsid w:val="008047ED"/>
    <w:rsid w:val="0085465C"/>
    <w:rsid w:val="008C14C5"/>
    <w:rsid w:val="00A770A2"/>
    <w:rsid w:val="00A86AE3"/>
    <w:rsid w:val="00B5667A"/>
    <w:rsid w:val="00C4480D"/>
    <w:rsid w:val="00C670D8"/>
    <w:rsid w:val="00E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B44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tedodoquadro">
    <w:name w:val="Conteúdo do quadro"/>
    <w:basedOn w:val="Normal"/>
    <w:qFormat/>
    <w:rsid w:val="008C14C5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#105/2023 CEP-CAU/PR</dc:title>
  <dc:subject/>
  <dc:creator>Walter Gustavo Linzmeyer</dc:creator>
  <cp:keywords>CAU/PR</cp:keywords>
  <dc:description/>
  <cp:lastModifiedBy>Walter Gustavo Linzmeyer</cp:lastModifiedBy>
  <cp:revision>5</cp:revision>
  <cp:lastPrinted>2023-11-03T19:53:00Z</cp:lastPrinted>
  <dcterms:created xsi:type="dcterms:W3CDTF">2023-11-03T19:52:00Z</dcterms:created>
  <dcterms:modified xsi:type="dcterms:W3CDTF">2023-11-03T19:54:00Z</dcterms:modified>
  <dc:language>pt-BR</dc:language>
</cp:coreProperties>
</file>