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707693A9" w:rsidR="00486655" w:rsidRDefault="004569C4" w:rsidP="00E31B5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1836505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E31B51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7B77E03" w:rsidR="00486655" w:rsidRDefault="00404CDA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EDFAF51" w:rsidR="00486655" w:rsidRDefault="004569C4" w:rsidP="0038092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Solicitação à Gerência de comunicação – Nota Técnica de Comunicação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70EF37EB" w:rsidR="00486655" w:rsidRDefault="00380921" w:rsidP="004569C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12</w:t>
            </w:r>
            <w:r w:rsidR="004569C4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563A428B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A1310A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EE0049">
        <w:rPr>
          <w:rFonts w:ascii="Times New Roman" w:hAnsi="Times New Roman" w:cs="Times New Roman"/>
          <w:sz w:val="22"/>
        </w:rPr>
        <w:t>agost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29790FA8" w14:textId="77777777" w:rsidR="00404CDA" w:rsidRPr="0093502C" w:rsidRDefault="00404CDA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>(§ 1º do Art. 24º da Lei 12.378/2010);</w:t>
      </w:r>
    </w:p>
    <w:p w14:paraId="3905EB1B" w14:textId="77777777" w:rsidR="00404CDA" w:rsidRDefault="00404CDA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</w:p>
    <w:p w14:paraId="4C3ED67B" w14:textId="77777777" w:rsidR="004569C4" w:rsidRPr="0093502C" w:rsidRDefault="004569C4" w:rsidP="004569C4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4655A76B" w14:textId="77777777" w:rsidR="004569C4" w:rsidRDefault="004569C4" w:rsidP="00404CDA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57857DF" w14:textId="59274606" w:rsidR="00EE0049" w:rsidRDefault="004569C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 xml:space="preserve">Solicitar ao Setor de Comunicação elaborar uma </w:t>
      </w:r>
      <w:r w:rsidR="005C68A7">
        <w:rPr>
          <w:rFonts w:ascii="Times New Roman" w:eastAsia="Calibri" w:hAnsi="Times New Roman"/>
          <w:iCs/>
          <w:sz w:val="22"/>
          <w:lang w:val="pt-PT" w:eastAsia="en-US"/>
        </w:rPr>
        <w:t xml:space="preserve">Nota Técnica </w:t>
      </w:r>
      <w:r>
        <w:rPr>
          <w:rFonts w:ascii="Times New Roman" w:eastAsia="Calibri" w:hAnsi="Times New Roman"/>
          <w:iCs/>
          <w:sz w:val="22"/>
          <w:lang w:val="pt-PT" w:eastAsia="en-US"/>
        </w:rPr>
        <w:t>para esclarecimento de todos os profissionais, informando sobre os perigos da contratação de empresas não qualificadas, pois, atividades efetuadas por leigos sem o devido conhecimento técnico, podem ocasionar perda de vidas, de patrimônios, etc.;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13C89DF5" w:rsidR="00F05D92" w:rsidRPr="002612FE" w:rsidRDefault="00B817F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Londrina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>
        <w:rPr>
          <w:rFonts w:ascii="Times New Roman" w:hAnsi="Times New Roman"/>
          <w:sz w:val="22"/>
          <w:szCs w:val="22"/>
        </w:rPr>
        <w:t>4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03F647E" w14:textId="77777777" w:rsidR="00E31B51" w:rsidRDefault="00E31B5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1BB36AE8" w:rsidR="00486655" w:rsidRPr="002612FE" w:rsidRDefault="00B817F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8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3D819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11753695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4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8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2D49295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4569C4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1836505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E31B51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="00A459D3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A070" w14:textId="77777777" w:rsidR="00653ED1" w:rsidRDefault="00653ED1">
      <w:pPr>
        <w:spacing w:after="0" w:line="240" w:lineRule="auto"/>
      </w:pPr>
      <w:r>
        <w:separator/>
      </w:r>
    </w:p>
  </w:endnote>
  <w:endnote w:type="continuationSeparator" w:id="0">
    <w:p w14:paraId="6FC36BD0" w14:textId="77777777" w:rsidR="00653ED1" w:rsidRDefault="0065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B520709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12</w:t>
    </w:r>
    <w:r w:rsidR="004569C4">
      <w:rPr>
        <w:rFonts w:ascii="DaxCondensed" w:hAnsi="DaxCondensed"/>
        <w:b/>
        <w:color w:val="A6A6A6"/>
        <w:spacing w:val="1"/>
        <w:sz w:val="18"/>
      </w:rPr>
      <w:t>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353208">
      <w:rPr>
        <w:rFonts w:ascii="DaxCondensed" w:hAnsi="DaxCondensed"/>
        <w:b/>
        <w:color w:val="A6A6A6"/>
        <w:spacing w:val="-2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53208">
      <w:rPr>
        <w:rFonts w:ascii="DaxCondensed" w:hAnsi="DaxCondensed"/>
        <w:b/>
        <w:color w:val="A6A6A6"/>
        <w:spacing w:val="-3"/>
        <w:sz w:val="18"/>
      </w:rPr>
      <w:t>agost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7DFF" w14:textId="77777777" w:rsidR="00653ED1" w:rsidRDefault="00653ED1">
      <w:pPr>
        <w:spacing w:after="0" w:line="240" w:lineRule="auto"/>
      </w:pPr>
      <w:r>
        <w:separator/>
      </w:r>
    </w:p>
  </w:footnote>
  <w:footnote w:type="continuationSeparator" w:id="0">
    <w:p w14:paraId="175695B8" w14:textId="77777777" w:rsidR="00653ED1" w:rsidRDefault="0065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569C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4569C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63750824">
    <w:abstractNumId w:val="0"/>
  </w:num>
  <w:num w:numId="2" w16cid:durableId="1932621124">
    <w:abstractNumId w:val="3"/>
  </w:num>
  <w:num w:numId="3" w16cid:durableId="922882226">
    <w:abstractNumId w:val="1"/>
  </w:num>
  <w:num w:numId="4" w16cid:durableId="185283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34D5"/>
    <w:rsid w:val="00150682"/>
    <w:rsid w:val="001A7C22"/>
    <w:rsid w:val="0024271C"/>
    <w:rsid w:val="002612FE"/>
    <w:rsid w:val="00291544"/>
    <w:rsid w:val="00353208"/>
    <w:rsid w:val="00380921"/>
    <w:rsid w:val="003F5530"/>
    <w:rsid w:val="00404CDA"/>
    <w:rsid w:val="00421BAC"/>
    <w:rsid w:val="004569C4"/>
    <w:rsid w:val="00486655"/>
    <w:rsid w:val="005C68A7"/>
    <w:rsid w:val="00646093"/>
    <w:rsid w:val="00653ED1"/>
    <w:rsid w:val="0079673C"/>
    <w:rsid w:val="007A39BB"/>
    <w:rsid w:val="007B275E"/>
    <w:rsid w:val="007F2880"/>
    <w:rsid w:val="00876576"/>
    <w:rsid w:val="008803E3"/>
    <w:rsid w:val="00893179"/>
    <w:rsid w:val="008A32F7"/>
    <w:rsid w:val="009C0E5E"/>
    <w:rsid w:val="00A0535F"/>
    <w:rsid w:val="00A103D1"/>
    <w:rsid w:val="00A1310A"/>
    <w:rsid w:val="00A451AD"/>
    <w:rsid w:val="00A459D3"/>
    <w:rsid w:val="00A55292"/>
    <w:rsid w:val="00AB3451"/>
    <w:rsid w:val="00B055DF"/>
    <w:rsid w:val="00B2061C"/>
    <w:rsid w:val="00B817FB"/>
    <w:rsid w:val="00BA1352"/>
    <w:rsid w:val="00BB172B"/>
    <w:rsid w:val="00BC3A31"/>
    <w:rsid w:val="00C00DA0"/>
    <w:rsid w:val="00D44315"/>
    <w:rsid w:val="00D671CF"/>
    <w:rsid w:val="00E31B51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48</cp:revision>
  <cp:lastPrinted>2023-11-18T13:07:00Z</cp:lastPrinted>
  <dcterms:created xsi:type="dcterms:W3CDTF">2023-03-03T20:26:00Z</dcterms:created>
  <dcterms:modified xsi:type="dcterms:W3CDTF">2023-11-18T13:07:00Z</dcterms:modified>
  <dc:language>pt-BR</dc:language>
</cp:coreProperties>
</file>