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left="1711"/>
        <w:jc w:val="center"/>
      </w:pPr>
      <w:r>
        <w:rPr/>
        <w:t>PORTARIA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/>
        <w:t>01,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2023.</w:t>
      </w:r>
    </w:p>
    <w:p>
      <w:pPr>
        <w:pStyle w:val="BodyText"/>
        <w:spacing w:before="9"/>
        <w:ind w:left="0"/>
        <w:jc w:val="left"/>
        <w:rPr>
          <w:b/>
          <w:sz w:val="27"/>
        </w:rPr>
      </w:pPr>
    </w:p>
    <w:p>
      <w:pPr>
        <w:pStyle w:val="BodyText"/>
        <w:spacing w:line="276" w:lineRule="auto"/>
        <w:ind w:left="4366" w:right="106"/>
      </w:pPr>
      <w:r>
        <w:rPr/>
        <w:t>Institui o Sistema Eletrônico de Informações – SEI como sistema oficial de gestão eletrônica de documentos e processos administrativos no âmbito do Conselho de Arquitetura e Urbanismo do Estado do Paraná – CAU/PR e adota outras </w:t>
      </w:r>
      <w:r>
        <w:rPr>
          <w:spacing w:val="-2"/>
        </w:rPr>
        <w:t>providências.</w:t>
      </w:r>
    </w:p>
    <w:p>
      <w:pPr>
        <w:pStyle w:val="BodyText"/>
        <w:spacing w:before="3"/>
        <w:ind w:left="0"/>
        <w:jc w:val="left"/>
      </w:pPr>
    </w:p>
    <w:p>
      <w:pPr>
        <w:pStyle w:val="BodyText"/>
        <w:spacing w:line="276" w:lineRule="auto"/>
        <w:ind w:right="113"/>
      </w:pPr>
      <w:r>
        <w:rPr/>
        <w:t>O Presidente do Conselho de Arquitetura e Urbanismo do Estado do Paraná (CAU/PR), no uso das atribuições que lhe conferem o art. 35 da Lei n° 12.378, de 31 de dezembro de 2010, o art. 158 do Regimento Interno do CAU/PR e, ainda:</w:t>
      </w:r>
    </w:p>
    <w:p>
      <w:pPr>
        <w:pStyle w:val="BodyText"/>
        <w:spacing w:line="276" w:lineRule="auto" w:before="198"/>
        <w:ind w:right="120"/>
      </w:pPr>
      <w:r>
        <w:rPr/>
        <w:t>Considerando o Acordo de Cooperação Técnica TRF4 nº 183/2021, que entre si celebraram o Tribunal Regional Federal da 4ª Região e o CAU/BR, cujo objeto 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sessão do direito de</w:t>
      </w:r>
      <w:r>
        <w:rPr>
          <w:spacing w:val="-1"/>
        </w:rPr>
        <w:t> </w:t>
      </w:r>
      <w:r>
        <w:rPr/>
        <w:t>uso do SEI para utilização em base única pelo CAU;</w:t>
      </w:r>
    </w:p>
    <w:p>
      <w:pPr>
        <w:pStyle w:val="BodyText"/>
        <w:spacing w:line="276" w:lineRule="auto" w:before="200"/>
        <w:ind w:right="121"/>
      </w:pPr>
      <w:r>
        <w:rPr/>
        <w:t>Considerando a Lei Federal nº 12.682/2012, que dispõe sobre a elaboração e o arquivamento de documentos em meios eletromagnéticos;</w:t>
      </w:r>
    </w:p>
    <w:p>
      <w:pPr>
        <w:pStyle w:val="BodyText"/>
        <w:spacing w:line="276" w:lineRule="auto" w:before="199"/>
        <w:ind w:right="119"/>
      </w:pPr>
      <w:r>
        <w:rPr/>
        <w:t>Considerando a Portaria Interministerial MJ/MP nº 1.677/2015, que define os procedimentos gerais para o desenvolvimento das atividades de protocolo no âmbito dos órgãos e entidades da Administração Pública </w:t>
      </w:r>
      <w:r>
        <w:rPr>
          <w:spacing w:val="-2"/>
        </w:rPr>
        <w:t>Federal;</w:t>
      </w:r>
    </w:p>
    <w:p>
      <w:pPr>
        <w:pStyle w:val="BodyText"/>
        <w:spacing w:line="276" w:lineRule="auto" w:before="198"/>
        <w:ind w:right="113"/>
      </w:pPr>
      <w:r>
        <w:rPr/>
        <w:t>Considerando o Decreto Federal n° 8.539/2015, que dispõe sobre o uso do meio eletrônico para a</w:t>
      </w:r>
      <w:r>
        <w:rPr>
          <w:spacing w:val="40"/>
        </w:rPr>
        <w:t> </w:t>
      </w:r>
      <w:r>
        <w:rPr/>
        <w:t>realização do processo administrativo no âmbito dos órgãos e das entidades da Administração Pública Federal direta, autárquica e fundacional;</w:t>
      </w:r>
    </w:p>
    <w:p>
      <w:pPr>
        <w:pStyle w:val="BodyText"/>
        <w:spacing w:line="276" w:lineRule="auto" w:before="200"/>
        <w:ind w:right="119"/>
      </w:pPr>
      <w:r>
        <w:rPr/>
        <w:t>Considerando a Lei Federal nº 13.726/2018, que racionaliza atos e procedimentos administrativos dos Poderes da</w:t>
      </w:r>
      <w:r>
        <w:rPr>
          <w:spacing w:val="-2"/>
        </w:rPr>
        <w:t> </w:t>
      </w:r>
      <w:r>
        <w:rPr/>
        <w:t>União, dos</w:t>
      </w:r>
      <w:r>
        <w:rPr>
          <w:spacing w:val="-1"/>
        </w:rPr>
        <w:t> </w:t>
      </w:r>
      <w:r>
        <w:rPr/>
        <w:t>Estados, do Distrito Federal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Municípios e</w:t>
      </w:r>
      <w:r>
        <w:rPr>
          <w:spacing w:val="-1"/>
        </w:rPr>
        <w:t> </w:t>
      </w:r>
      <w:r>
        <w:rPr/>
        <w:t>institui o</w:t>
      </w:r>
      <w:r>
        <w:rPr>
          <w:spacing w:val="-2"/>
        </w:rPr>
        <w:t> </w:t>
      </w:r>
      <w:r>
        <w:rPr/>
        <w:t>Selo de</w:t>
      </w:r>
      <w:r>
        <w:rPr>
          <w:spacing w:val="-1"/>
        </w:rPr>
        <w:t> </w:t>
      </w:r>
      <w:r>
        <w:rPr/>
        <w:t>Desburocratização e Simplificação;</w:t>
      </w:r>
    </w:p>
    <w:p>
      <w:pPr>
        <w:pStyle w:val="BodyText"/>
        <w:spacing w:before="198"/>
      </w:pPr>
      <w:r>
        <w:rPr/>
        <w:t>Considerando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Lei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13.709/2018,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5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proteção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dados</w:t>
      </w:r>
      <w:r>
        <w:rPr>
          <w:spacing w:val="-3"/>
        </w:rPr>
        <w:t> </w:t>
      </w:r>
      <w:r>
        <w:rPr>
          <w:spacing w:val="-2"/>
        </w:rPr>
        <w:t>pessoais;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76" w:lineRule="auto"/>
        <w:ind w:right="116"/>
      </w:pPr>
      <w:r>
        <w:rPr/>
        <w:t>Considerando a Lei Federal nº 14.063/2020, que dispõe sobre o uso de assinaturas eletrônicas em</w:t>
      </w:r>
      <w:r>
        <w:rPr>
          <w:spacing w:val="40"/>
        </w:rPr>
        <w:t> </w:t>
      </w:r>
      <w:r>
        <w:rPr/>
        <w:t>interações com entes públicos, em atos de pessoas jurídicas e sobre as licenças de softwares desenvolvidos por entes públicos;</w:t>
      </w:r>
    </w:p>
    <w:p>
      <w:pPr>
        <w:pStyle w:val="BodyText"/>
        <w:spacing w:line="276" w:lineRule="auto" w:before="198"/>
        <w:ind w:right="117"/>
      </w:pPr>
      <w:r>
        <w:rPr/>
        <w:t>Considerando o Decreto Federal nº 10.278/2020, que estabelece a técnica e os requisitos para a digitalização de documentos públicos ou privados, a fim de que os documentos digitalizados produzam os mesmos efeitos legais dos documentos originais;</w:t>
      </w:r>
    </w:p>
    <w:p>
      <w:pPr>
        <w:spacing w:line="276" w:lineRule="auto" w:before="200"/>
        <w:ind w:left="114" w:right="103" w:firstLine="0"/>
        <w:jc w:val="both"/>
        <w:rPr>
          <w:i/>
          <w:sz w:val="24"/>
        </w:rPr>
      </w:pPr>
      <w:r>
        <w:rPr>
          <w:sz w:val="24"/>
        </w:rPr>
        <w:t>Considerando que a Lei nº 14.133/2021 prevê no art. 12, inciso VI, que nas licitações </w:t>
      </w:r>
      <w:r>
        <w:rPr>
          <w:i/>
          <w:sz w:val="24"/>
        </w:rPr>
        <w:t>“os atos serão</w:t>
      </w:r>
      <w:r>
        <w:rPr>
          <w:i/>
          <w:sz w:val="24"/>
        </w:rPr>
        <w:t> preferencialmente digitais, de forma a permitir que sejam produzidos, comunicados, armazenados e validados por meio eletrônico”;</w:t>
      </w:r>
    </w:p>
    <w:p>
      <w:pPr>
        <w:pStyle w:val="BodyText"/>
        <w:spacing w:line="276" w:lineRule="auto" w:before="198"/>
        <w:ind w:right="125"/>
      </w:pPr>
      <w:r>
        <w:rPr/>
        <w:t>Considerando que uma das diretrizes da Governança Pública é a modernização da gestão pública, nos termos o art. 4º, inciso II, do Decreto nº 9.203, de 22 de novembro de 2017 e;</w:t>
      </w:r>
    </w:p>
    <w:p>
      <w:pPr>
        <w:pStyle w:val="BodyText"/>
        <w:spacing w:line="276" w:lineRule="auto" w:before="199"/>
        <w:ind w:right="117"/>
      </w:pPr>
      <w:r>
        <w:rPr/>
        <w:t>Considerando a necessidade de modernização e padronização dos meios eletrônicos de gestão e tramitação de documentos e processos no âmbito do CAU/PR.</w:t>
      </w:r>
    </w:p>
    <w:p>
      <w:pPr>
        <w:spacing w:after="0" w:line="276" w:lineRule="auto"/>
        <w:sectPr>
          <w:headerReference w:type="default" r:id="rId5"/>
          <w:footerReference w:type="default" r:id="rId6"/>
          <w:type w:val="continuous"/>
          <w:pgSz w:w="11910" w:h="16840"/>
          <w:pgMar w:header="112" w:footer="604" w:top="1180" w:bottom="800" w:left="740" w:right="600"/>
          <w:pgNumType w:start="1"/>
        </w:sectPr>
      </w:pPr>
    </w:p>
    <w:p>
      <w:pPr>
        <w:pStyle w:val="Heading1"/>
        <w:ind w:left="114" w:right="0"/>
      </w:pPr>
      <w:r>
        <w:rPr>
          <w:spacing w:val="-2"/>
        </w:rPr>
        <w:t>RESOLVE:</w:t>
      </w:r>
    </w:p>
    <w:p>
      <w:pPr>
        <w:spacing w:line="240" w:lineRule="auto" w:before="4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Heading1"/>
        <w:spacing w:line="276" w:lineRule="auto" w:before="1"/>
        <w:ind w:right="3981" w:firstLine="588"/>
      </w:pPr>
      <w:r>
        <w:rPr/>
        <w:t>CAPÍTULO I DISPOSIÇÕES</w:t>
      </w:r>
      <w:r>
        <w:rPr>
          <w:spacing w:val="-15"/>
        </w:rPr>
        <w:t> </w:t>
      </w:r>
      <w:r>
        <w:rPr/>
        <w:t>GERAIS</w:t>
      </w:r>
    </w:p>
    <w:p>
      <w:pPr>
        <w:spacing w:after="0" w:line="276" w:lineRule="auto"/>
        <w:sectPr>
          <w:pgSz w:w="11910" w:h="16840"/>
          <w:pgMar w:header="112" w:footer="604" w:top="1180" w:bottom="800" w:left="740" w:right="600"/>
          <w:cols w:num="2" w:equalWidth="0">
            <w:col w:w="1382" w:space="2494"/>
            <w:col w:w="6694"/>
          </w:cols>
        </w:sectPr>
      </w:pPr>
    </w:p>
    <w:p>
      <w:pPr>
        <w:pStyle w:val="BodyText"/>
        <w:spacing w:before="8"/>
        <w:ind w:left="0"/>
        <w:jc w:val="left"/>
        <w:rPr>
          <w:b/>
          <w:sz w:val="19"/>
        </w:rPr>
      </w:pPr>
    </w:p>
    <w:p>
      <w:pPr>
        <w:pStyle w:val="BodyText"/>
        <w:spacing w:line="276" w:lineRule="auto" w:before="90"/>
        <w:ind w:right="114"/>
      </w:pPr>
      <w:r>
        <w:rPr>
          <w:b/>
        </w:rPr>
        <w:t>Art. 1º </w:t>
      </w:r>
      <w:r>
        <w:rPr/>
        <w:t>Instituir o Sistema Eletrônico de Informações (SEI) como sistema oficial de gestão eletrônica de documentos e processos administrativos no âmbito do Conselho de Arquitetura e Urbanismo do Paraná,</w:t>
      </w:r>
      <w:r>
        <w:rPr>
          <w:spacing w:val="40"/>
        </w:rPr>
        <w:t> </w:t>
      </w:r>
      <w:r>
        <w:rPr/>
        <w:t>nos termos desta Portaria.</w:t>
      </w:r>
    </w:p>
    <w:p>
      <w:pPr>
        <w:pStyle w:val="BodyText"/>
        <w:spacing w:line="276" w:lineRule="auto" w:before="198"/>
        <w:ind w:right="111"/>
      </w:pPr>
      <w:r>
        <w:rPr>
          <w:b/>
        </w:rPr>
        <w:t>Art. 2º </w:t>
      </w:r>
      <w:r>
        <w:rPr/>
        <w:t>A gestão eletrônica de documentos e processos administrativos compreende as etapas de produção, edição, assinatura, tramitação, recebimento, autuação, conclusão e arquivamento de documentos e </w:t>
      </w:r>
      <w:r>
        <w:rPr>
          <w:spacing w:val="-2"/>
        </w:rPr>
        <w:t>processos.</w:t>
      </w:r>
    </w:p>
    <w:p>
      <w:pPr>
        <w:pStyle w:val="BodyText"/>
        <w:spacing w:line="276" w:lineRule="auto" w:before="200"/>
        <w:ind w:right="112"/>
      </w:pPr>
      <w:r>
        <w:rPr>
          <w:b/>
        </w:rPr>
        <w:t>Art. 3º </w:t>
      </w:r>
      <w:r>
        <w:rPr/>
        <w:t>A instituição do SEI atenderá aos seguintes objetivos relativos a documentos e processos </w:t>
      </w:r>
      <w:r>
        <w:rPr>
          <w:spacing w:val="-2"/>
        </w:rPr>
        <w:t>administrativos: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199" w:after="0"/>
        <w:ind w:left="253" w:right="0" w:hanging="139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Assegurar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4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aprimorar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segurança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confiabilidade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dados;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40" w:after="0"/>
        <w:ind w:left="333" w:right="0" w:hanging="219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Aperfeiçoar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ferramentas de</w:t>
      </w:r>
      <w:r>
        <w:rPr>
          <w:spacing w:val="-6"/>
          <w:sz w:val="24"/>
        </w:rPr>
        <w:t> </w:t>
      </w:r>
      <w:r>
        <w:rPr>
          <w:sz w:val="24"/>
        </w:rPr>
        <w:t>gestão,</w:t>
      </w:r>
      <w:r>
        <w:rPr>
          <w:spacing w:val="-4"/>
          <w:sz w:val="24"/>
        </w:rPr>
        <w:t> </w:t>
      </w:r>
      <w:r>
        <w:rPr>
          <w:sz w:val="24"/>
        </w:rPr>
        <w:t>fomentando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qualidade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serviços;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42" w:after="0"/>
        <w:ind w:left="413" w:right="0" w:hanging="299"/>
        <w:jc w:val="left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Aumentar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produtividade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celeridade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tramitação;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40" w:after="0"/>
        <w:ind w:left="426" w:right="0" w:hanging="312"/>
        <w:jc w:val="left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Reduzir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custos</w:t>
      </w:r>
      <w:r>
        <w:rPr>
          <w:spacing w:val="-5"/>
          <w:sz w:val="24"/>
        </w:rPr>
        <w:t> </w:t>
      </w:r>
      <w:r>
        <w:rPr>
          <w:sz w:val="24"/>
        </w:rPr>
        <w:t>operacionais</w:t>
      </w:r>
      <w:r>
        <w:rPr>
          <w:spacing w:val="-2"/>
          <w:sz w:val="24"/>
        </w:rPr>
        <w:t> </w:t>
      </w:r>
      <w:r>
        <w:rPr>
          <w:sz w:val="24"/>
        </w:rPr>
        <w:t>envolvidos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fluxos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criação,</w:t>
      </w:r>
      <w:r>
        <w:rPr>
          <w:spacing w:val="-2"/>
          <w:sz w:val="24"/>
        </w:rPr>
        <w:t> </w:t>
      </w:r>
      <w:r>
        <w:rPr>
          <w:sz w:val="24"/>
        </w:rPr>
        <w:t>autuação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tramitação;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</w:tabs>
        <w:spacing w:line="240" w:lineRule="auto" w:before="42" w:after="0"/>
        <w:ind w:left="347" w:right="0" w:hanging="233"/>
        <w:jc w:val="left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Ampliar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disponíveis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tecnologia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informação 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comunicação.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12"/>
      </w:pPr>
      <w:r>
        <w:rPr>
          <w:b/>
        </w:rPr>
        <w:t>Art. 4º </w:t>
      </w:r>
      <w:r>
        <w:rPr/>
        <w:t>Delegar à Gerencia Geral a competência para coordenar os esforços de implantação e regulamentação da utilização do SEI no âmbito do CAU/PR, levando em consideração as seguintes </w:t>
      </w:r>
      <w:r>
        <w:rPr>
          <w:spacing w:val="-2"/>
        </w:rPr>
        <w:t>diretrizes: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76" w:lineRule="auto" w:before="200" w:after="0"/>
        <w:ind w:left="114" w:right="115" w:firstLine="0"/>
        <w:jc w:val="both"/>
        <w:rPr>
          <w:sz w:val="24"/>
        </w:rPr>
      </w:pPr>
      <w:r>
        <w:rPr>
          <w:sz w:val="24"/>
        </w:rPr>
        <w:t>- Revisão das atividades operacionais envolvidas em cada tipo de processo administrativo, buscando maior eficiência e celeridade na tramitação e instrução processual, levando em consideração os recursos tecnológicos disponíveis no SEI;</w:t>
      </w:r>
    </w:p>
    <w:p>
      <w:pPr>
        <w:pStyle w:val="ListParagraph"/>
        <w:numPr>
          <w:ilvl w:val="0"/>
          <w:numId w:val="2"/>
        </w:numPr>
        <w:tabs>
          <w:tab w:pos="358" w:val="left" w:leader="none"/>
        </w:tabs>
        <w:spacing w:line="276" w:lineRule="auto" w:before="0" w:after="0"/>
        <w:ind w:left="114" w:right="116" w:firstLine="0"/>
        <w:jc w:val="both"/>
        <w:rPr>
          <w:sz w:val="24"/>
        </w:rPr>
      </w:pPr>
      <w:r>
        <w:rPr>
          <w:sz w:val="24"/>
        </w:rPr>
        <w:t>- Revisão e consolidação das normas internas que regulamentam a instrução de cada tipo de processo </w:t>
      </w:r>
      <w:r>
        <w:rPr>
          <w:spacing w:val="-2"/>
          <w:sz w:val="24"/>
        </w:rPr>
        <w:t>administrativo;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76" w:lineRule="auto" w:before="0" w:after="0"/>
        <w:ind w:left="114" w:right="115" w:firstLine="0"/>
        <w:jc w:val="both"/>
        <w:rPr>
          <w:sz w:val="24"/>
        </w:rPr>
      </w:pPr>
      <w:r>
        <w:rPr>
          <w:sz w:val="24"/>
        </w:rPr>
        <w:t>- Elaboração e publicação de Instrução Normativa para apoio às áreas operacionais na execução das atividades envolvidas no tipo de processo administrativo;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0" w:after="0"/>
        <w:ind w:left="114" w:right="114" w:firstLine="0"/>
        <w:jc w:val="both"/>
        <w:rPr>
          <w:sz w:val="24"/>
        </w:rPr>
      </w:pPr>
      <w:r>
        <w:rPr>
          <w:sz w:val="24"/>
        </w:rPr>
        <w:t>- Identificação de todas as unidades envolvidas no processo para oferecimento da capacitação aos servidores e gestores envolvidos nas atividades operacionais de cada tipo de processo administrativo;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76" w:lineRule="auto" w:before="0" w:after="0"/>
        <w:ind w:left="114" w:right="122" w:firstLine="0"/>
        <w:jc w:val="both"/>
        <w:rPr>
          <w:sz w:val="24"/>
        </w:rPr>
      </w:pPr>
      <w:r>
        <w:rPr>
          <w:sz w:val="24"/>
        </w:rPr>
        <w:t>- Classificação dos níveis de acesso a cada tipo de processo administrativo, respeitadas as disposições </w:t>
      </w:r>
      <w:r>
        <w:rPr>
          <w:spacing w:val="-2"/>
          <w:sz w:val="24"/>
        </w:rPr>
        <w:t>legais;</w:t>
      </w:r>
    </w:p>
    <w:p>
      <w:pPr>
        <w:pStyle w:val="ListParagraph"/>
        <w:numPr>
          <w:ilvl w:val="0"/>
          <w:numId w:val="2"/>
        </w:numPr>
        <w:tabs>
          <w:tab w:pos="427" w:val="left" w:leader="none"/>
        </w:tabs>
        <w:spacing w:line="275" w:lineRule="exact" w:before="0" w:after="0"/>
        <w:ind w:left="427" w:right="0" w:hanging="313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Disponibilização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acesso</w:t>
      </w:r>
      <w:r>
        <w:rPr>
          <w:spacing w:val="-5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4"/>
          <w:sz w:val="24"/>
        </w:rPr>
        <w:t> </w:t>
      </w:r>
      <w:r>
        <w:rPr>
          <w:sz w:val="24"/>
        </w:rPr>
        <w:t>autos</w:t>
      </w:r>
      <w:r>
        <w:rPr>
          <w:spacing w:val="-5"/>
          <w:sz w:val="24"/>
        </w:rPr>
        <w:t> </w:t>
      </w:r>
      <w:r>
        <w:rPr>
          <w:sz w:val="24"/>
        </w:rPr>
        <w:t>processuais,</w:t>
      </w:r>
      <w:r>
        <w:rPr>
          <w:spacing w:val="-5"/>
          <w:sz w:val="24"/>
        </w:rPr>
        <w:t> </w:t>
      </w:r>
      <w:r>
        <w:rPr>
          <w:sz w:val="24"/>
        </w:rPr>
        <w:t>respeitadas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ressalvas</w:t>
      </w:r>
      <w:r>
        <w:rPr>
          <w:spacing w:val="-4"/>
          <w:sz w:val="24"/>
        </w:rPr>
        <w:t> </w:t>
      </w:r>
      <w:r>
        <w:rPr>
          <w:sz w:val="24"/>
        </w:rPr>
        <w:t>legais;</w:t>
      </w:r>
      <w:r>
        <w:rPr>
          <w:spacing w:val="-2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6" w:lineRule="auto" w:before="38" w:after="0"/>
        <w:ind w:left="114" w:right="119" w:firstLine="0"/>
        <w:jc w:val="both"/>
        <w:rPr>
          <w:sz w:val="24"/>
        </w:rPr>
      </w:pPr>
      <w:r>
        <w:rPr>
          <w:sz w:val="24"/>
        </w:rPr>
        <w:t>- Definição da estratégia para conversão de processos em suporte físico para o meio eletrônico e conversão da tramitação de documentos e processos realizadas em outros sistemas para o SEI.</w:t>
      </w:r>
    </w:p>
    <w:p>
      <w:pPr>
        <w:pStyle w:val="BodyText"/>
        <w:spacing w:line="276" w:lineRule="auto" w:before="199"/>
        <w:ind w:right="116"/>
      </w:pPr>
      <w:r>
        <w:rPr>
          <w:b/>
        </w:rPr>
        <w:t>Art. 5º </w:t>
      </w:r>
      <w:r>
        <w:rPr/>
        <w:t>Compete à área de Tecnologia da Informação garantir o apoio técnico para a instalação, configuração e manutenção do SEI, garantindo a disponibilidade do sistema e confiabilidade dos dados</w:t>
      </w:r>
      <w:r>
        <w:rPr>
          <w:spacing w:val="40"/>
        </w:rPr>
        <w:t> </w:t>
      </w:r>
      <w:r>
        <w:rPr/>
        <w:t>nele armazenados.</w:t>
      </w:r>
    </w:p>
    <w:p>
      <w:pPr>
        <w:pStyle w:val="BodyText"/>
        <w:spacing w:line="276" w:lineRule="auto" w:before="198"/>
        <w:ind w:right="123"/>
      </w:pPr>
      <w:r>
        <w:rPr>
          <w:b/>
        </w:rPr>
        <w:t>Art. 6º </w:t>
      </w:r>
      <w:r>
        <w:rPr/>
        <w:t>A transição dos processos administrativos em papel e/ou tramitados no SICCAU para o SEI ocorrerá de acordo com cronograma e estratégia definido pelas unidades em conjunto com a UNISEI.</w:t>
      </w:r>
    </w:p>
    <w:p>
      <w:pPr>
        <w:pStyle w:val="BodyText"/>
        <w:spacing w:line="276" w:lineRule="auto" w:before="199"/>
        <w:ind w:right="122"/>
      </w:pPr>
      <w:r>
        <w:rPr>
          <w:b/>
        </w:rPr>
        <w:t>Art. 7º </w:t>
      </w:r>
      <w:r>
        <w:rPr/>
        <w:t>Uma vez definido o uso do SEI para determinado tipo de processo administrativo, os atos processuais nele praticados deverão ser realizados em meio eletrônico, exceto quando:</w:t>
      </w:r>
    </w:p>
    <w:p>
      <w:pPr>
        <w:spacing w:after="0" w:line="276" w:lineRule="auto"/>
        <w:sectPr>
          <w:type w:val="continuous"/>
          <w:pgSz w:w="11910" w:h="16840"/>
          <w:pgMar w:header="112" w:footer="604" w:top="1180" w:bottom="800" w:left="740" w:right="600"/>
        </w:sect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80" w:after="0"/>
        <w:ind w:left="253" w:right="0" w:hanging="139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Tal</w:t>
      </w:r>
      <w:r>
        <w:rPr>
          <w:spacing w:val="-2"/>
          <w:sz w:val="24"/>
        </w:rPr>
        <w:t> </w:t>
      </w:r>
      <w:r>
        <w:rPr>
          <w:sz w:val="24"/>
        </w:rPr>
        <w:t>medida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tecnicamente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inviável;</w:t>
      </w:r>
    </w:p>
    <w:p>
      <w:pPr>
        <w:pStyle w:val="ListParagraph"/>
        <w:numPr>
          <w:ilvl w:val="0"/>
          <w:numId w:val="3"/>
        </w:numPr>
        <w:tabs>
          <w:tab w:pos="342" w:val="left" w:leader="none"/>
        </w:tabs>
        <w:spacing w:line="276" w:lineRule="auto" w:before="40" w:after="0"/>
        <w:ind w:left="114" w:right="111" w:firstLine="0"/>
        <w:jc w:val="left"/>
        <w:rPr>
          <w:sz w:val="24"/>
        </w:rPr>
      </w:pPr>
      <w:r>
        <w:rPr>
          <w:sz w:val="24"/>
        </w:rPr>
        <w:t>- Houver indisponibilidade do meio eletrônico cujo prolongamento cause dano relevante à celeridade do processo; ou</w:t>
      </w: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75" w:lineRule="exact" w:before="0" w:after="0"/>
        <w:ind w:left="413" w:right="0" w:hanging="299"/>
        <w:jc w:val="lef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Existir</w:t>
      </w:r>
      <w:r>
        <w:rPr>
          <w:spacing w:val="-3"/>
          <w:sz w:val="24"/>
        </w:rPr>
        <w:t> </w:t>
      </w:r>
      <w:r>
        <w:rPr>
          <w:sz w:val="24"/>
        </w:rPr>
        <w:t>previsão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exceção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normativo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próprio.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76" w:lineRule="auto"/>
        <w:jc w:val="left"/>
      </w:pPr>
      <w:r>
        <w:rPr>
          <w:b/>
        </w:rPr>
        <w:t>Art.</w:t>
      </w:r>
      <w:r>
        <w:rPr>
          <w:b/>
          <w:spacing w:val="40"/>
        </w:rPr>
        <w:t> </w:t>
      </w:r>
      <w:r>
        <w:rPr>
          <w:b/>
        </w:rPr>
        <w:t>8º</w:t>
      </w:r>
      <w:r>
        <w:rPr>
          <w:b/>
          <w:spacing w:val="64"/>
        </w:rPr>
        <w:t> </w:t>
      </w:r>
      <w:r>
        <w:rPr/>
        <w:t>Os</w:t>
      </w:r>
      <w:r>
        <w:rPr>
          <w:spacing w:val="64"/>
        </w:rPr>
        <w:t> </w:t>
      </w:r>
      <w:r>
        <w:rPr/>
        <w:t>documentos</w:t>
      </w:r>
      <w:r>
        <w:rPr>
          <w:spacing w:val="64"/>
        </w:rPr>
        <w:t> </w:t>
      </w:r>
      <w:r>
        <w:rPr/>
        <w:t>eletrônicos</w:t>
      </w:r>
      <w:r>
        <w:rPr>
          <w:spacing w:val="66"/>
        </w:rPr>
        <w:t> </w:t>
      </w:r>
      <w:r>
        <w:rPr/>
        <w:t>produzidos</w:t>
      </w:r>
      <w:r>
        <w:rPr>
          <w:spacing w:val="64"/>
        </w:rPr>
        <w:t> </w:t>
      </w:r>
      <w:r>
        <w:rPr/>
        <w:t>no</w:t>
      </w:r>
      <w:r>
        <w:rPr>
          <w:spacing w:val="40"/>
        </w:rPr>
        <w:t> </w:t>
      </w:r>
      <w:r>
        <w:rPr/>
        <w:t>SEI</w:t>
      </w:r>
      <w:r>
        <w:rPr>
          <w:spacing w:val="40"/>
        </w:rPr>
        <w:t> </w:t>
      </w:r>
      <w:r>
        <w:rPr/>
        <w:t>terão</w:t>
      </w:r>
      <w:r>
        <w:rPr>
          <w:spacing w:val="40"/>
        </w:rPr>
        <w:t> </w:t>
      </w:r>
      <w:r>
        <w:rPr/>
        <w:t>garantia</w:t>
      </w:r>
      <w:r>
        <w:rPr>
          <w:spacing w:val="65"/>
        </w:rPr>
        <w:t> </w:t>
      </w:r>
      <w:r>
        <w:rPr/>
        <w:t>de</w:t>
      </w:r>
      <w:r>
        <w:rPr>
          <w:spacing w:val="40"/>
        </w:rPr>
        <w:t> </w:t>
      </w:r>
      <w:r>
        <w:rPr/>
        <w:t>integridade,</w:t>
      </w:r>
      <w:r>
        <w:rPr>
          <w:spacing w:val="65"/>
        </w:rPr>
        <w:t> </w:t>
      </w:r>
      <w:r>
        <w:rPr/>
        <w:t>de</w:t>
      </w:r>
      <w:r>
        <w:rPr>
          <w:spacing w:val="40"/>
        </w:rPr>
        <w:t> </w:t>
      </w:r>
      <w:r>
        <w:rPr/>
        <w:t>autoria,</w:t>
      </w:r>
      <w:r>
        <w:rPr>
          <w:spacing w:val="40"/>
        </w:rPr>
        <w:t> </w:t>
      </w:r>
      <w:r>
        <w:rPr/>
        <w:t>de autenticidade, mediante utilização de assinatura eletrônica nas seguintes modalidades: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76" w:lineRule="auto" w:before="199" w:after="0"/>
        <w:ind w:left="114" w:right="116" w:firstLine="0"/>
        <w:jc w:val="left"/>
        <w:rPr>
          <w:sz w:val="24"/>
        </w:rPr>
      </w:pPr>
      <w:r>
        <w:rPr>
          <w:sz w:val="24"/>
        </w:rPr>
        <w:t>- Assinatura digital, baseada em certificado digital emitido por Autoridade Certificadora credenciada à</w:t>
      </w:r>
      <w:r>
        <w:rPr>
          <w:spacing w:val="80"/>
          <w:sz w:val="24"/>
        </w:rPr>
        <w:t> </w:t>
      </w:r>
      <w:r>
        <w:rPr>
          <w:sz w:val="24"/>
        </w:rPr>
        <w:t>infraestrutura de Chaves Públicas Brasileira (ICP-Brasil); ou</w:t>
      </w: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75" w:lineRule="exact" w:before="0" w:after="0"/>
        <w:ind w:left="333" w:right="0" w:hanging="219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cadastrada,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login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senha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acesso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usuário.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15"/>
      </w:pPr>
      <w:r>
        <w:rPr/>
        <w:t>§</w:t>
      </w:r>
      <w:r>
        <w:rPr>
          <w:spacing w:val="-4"/>
        </w:rPr>
        <w:t> </w:t>
      </w:r>
      <w:r>
        <w:rPr/>
        <w:t>1º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assinaturas</w:t>
      </w:r>
      <w:r>
        <w:rPr>
          <w:spacing w:val="-2"/>
        </w:rPr>
        <w:t> </w:t>
      </w:r>
      <w:r>
        <w:rPr/>
        <w:t>digital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cadastrada</w:t>
      </w:r>
      <w:r>
        <w:rPr>
          <w:spacing w:val="-3"/>
        </w:rPr>
        <w:t> </w:t>
      </w:r>
      <w:r>
        <w:rPr/>
        <w:t>são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pessoal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intransferível,</w:t>
      </w:r>
      <w:r>
        <w:rPr>
          <w:spacing w:val="-3"/>
        </w:rPr>
        <w:t> </w:t>
      </w:r>
      <w:r>
        <w:rPr/>
        <w:t>sendo</w:t>
      </w:r>
      <w:r>
        <w:rPr>
          <w:spacing w:val="-4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titular sua guarda e sigilo.</w:t>
      </w:r>
    </w:p>
    <w:p>
      <w:pPr>
        <w:pStyle w:val="BodyText"/>
        <w:spacing w:line="276" w:lineRule="auto"/>
        <w:ind w:right="114"/>
      </w:pPr>
      <w:r>
        <w:rPr/>
        <w:t>§ 2º A autenticidade de documentos gerados no SEI pode ser verificada em endereço do CAU/PR na internet indicado na tarja de assinatura e declaração de autenticidade no próprio documento, com uso dos Códigos Verificador e CRC.</w:t>
      </w:r>
    </w:p>
    <w:p>
      <w:pPr>
        <w:pStyle w:val="BodyText"/>
        <w:spacing w:line="276" w:lineRule="auto"/>
        <w:ind w:right="115"/>
      </w:pPr>
      <w:r>
        <w:rPr/>
        <w:t>§ 3º Normas regulamentares específicas poderão restringir a modalidade de assinatura em determinados atos processuais.</w:t>
      </w:r>
    </w:p>
    <w:p>
      <w:pPr>
        <w:pStyle w:val="BodyText"/>
        <w:spacing w:line="276" w:lineRule="auto"/>
        <w:ind w:right="122"/>
      </w:pPr>
      <w:r>
        <w:rPr/>
        <w:t>§</w:t>
      </w:r>
      <w:r>
        <w:rPr>
          <w:spacing w:val="-1"/>
        </w:rPr>
        <w:t> </w:t>
      </w:r>
      <w:r>
        <w:rPr/>
        <w:t>4º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permitido ao</w:t>
      </w:r>
      <w:r>
        <w:rPr>
          <w:spacing w:val="-1"/>
        </w:rPr>
        <w:t> </w:t>
      </w:r>
      <w:r>
        <w:rPr/>
        <w:t>usuário</w:t>
      </w:r>
      <w:r>
        <w:rPr>
          <w:spacing w:val="-1"/>
        </w:rPr>
        <w:t> </w:t>
      </w:r>
      <w:r>
        <w:rPr/>
        <w:t>interno</w:t>
      </w:r>
      <w:r>
        <w:rPr>
          <w:spacing w:val="-1"/>
        </w:rPr>
        <w:t> </w:t>
      </w:r>
      <w:r>
        <w:rPr/>
        <w:t>utilizar certificados digital emitido pela</w:t>
      </w:r>
      <w:r>
        <w:rPr>
          <w:spacing w:val="-2"/>
        </w:rPr>
        <w:t> </w:t>
      </w:r>
      <w:r>
        <w:rPr/>
        <w:t>ICP-Brasil</w:t>
      </w:r>
      <w:r>
        <w:rPr>
          <w:spacing w:val="-2"/>
        </w:rPr>
        <w:t> </w:t>
      </w:r>
      <w:r>
        <w:rPr/>
        <w:t>adquirido por</w:t>
      </w:r>
      <w:r>
        <w:rPr>
          <w:spacing w:val="-3"/>
        </w:rPr>
        <w:t> </w:t>
      </w:r>
      <w:r>
        <w:rPr/>
        <w:t>meios próprios, desde que possua características compatíveis com as disposições desta Portaria, não sendo cabível, em qualquer hipótese, o ressarcimento pelo CAU/PR dos custos havidos.</w:t>
      </w:r>
    </w:p>
    <w:p>
      <w:pPr>
        <w:pStyle w:val="BodyText"/>
        <w:spacing w:line="276" w:lineRule="auto" w:before="197"/>
        <w:ind w:right="121"/>
      </w:pPr>
      <w:r>
        <w:rPr>
          <w:b/>
        </w:rPr>
        <w:t>Art. 9º </w:t>
      </w:r>
      <w:r>
        <w:rPr/>
        <w:t>A assinatura eletrônica de documentos importa na aceitação das normas regulamentares sobre o assunto e da responsabilidade do usuário por sua utilização indevida.</w:t>
      </w:r>
    </w:p>
    <w:p>
      <w:pPr>
        <w:pStyle w:val="BodyText"/>
        <w:spacing w:before="199"/>
        <w:jc w:val="left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10º</w:t>
      </w:r>
      <w:r>
        <w:rPr>
          <w:b/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SEI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acessado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endereço</w:t>
      </w:r>
      <w:r>
        <w:rPr>
          <w:spacing w:val="-2"/>
        </w:rPr>
        <w:t> </w:t>
      </w:r>
      <w:r>
        <w:rPr/>
        <w:t>eletrônico</w:t>
      </w:r>
      <w:r>
        <w:rPr>
          <w:spacing w:val="1"/>
        </w:rPr>
        <w:t> </w:t>
      </w:r>
      <w:hyperlink r:id="rId7">
        <w:r>
          <w:rPr>
            <w:spacing w:val="-2"/>
          </w:rPr>
          <w:t>http://sei.caubr.gov.br.</w:t>
        </w:r>
      </w:hyperlink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jc w:val="left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11º</w:t>
      </w:r>
      <w:r>
        <w:rPr>
          <w:b/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usuário</w:t>
      </w:r>
      <w:r>
        <w:rPr>
          <w:spacing w:val="-1"/>
        </w:rPr>
        <w:t> </w:t>
      </w:r>
      <w:r>
        <w:rPr/>
        <w:t>interno</w:t>
      </w:r>
      <w:r>
        <w:rPr>
          <w:spacing w:val="-2"/>
        </w:rPr>
        <w:t> </w:t>
      </w:r>
      <w:r>
        <w:rPr/>
        <w:t>atuará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SEI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seu</w:t>
      </w:r>
      <w:r>
        <w:rPr>
          <w:spacing w:val="-3"/>
        </w:rPr>
        <w:t> </w:t>
      </w:r>
      <w:r>
        <w:rPr/>
        <w:t>perfil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acesso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sistema.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  <w:spacing w:line="276" w:lineRule="auto"/>
        <w:ind w:right="130"/>
      </w:pPr>
      <w:r>
        <w:rPr/>
        <w:t>§ 1º O usuário poderá estar associado a mais de uma unidade, de acordo com as atividades por ele </w:t>
      </w:r>
      <w:r>
        <w:rPr>
          <w:spacing w:val="-2"/>
        </w:rPr>
        <w:t>desenvolvidas.</w:t>
      </w:r>
    </w:p>
    <w:p>
      <w:pPr>
        <w:pStyle w:val="BodyText"/>
        <w:spacing w:line="276" w:lineRule="auto"/>
        <w:ind w:right="117"/>
      </w:pPr>
      <w:r>
        <w:rPr/>
        <w:t>§ 2º As permissões e alterações de acesso às unidades cadastradas no SEI serão feitas mediante solicitação documentada e justificada, direcionada aos administradores do sistema, por meio do endereço eletrônico </w:t>
      </w:r>
      <w:hyperlink r:id="rId8">
        <w:r>
          <w:rPr>
            <w:spacing w:val="-2"/>
          </w:rPr>
          <w:t>sei@caupr.gov.br.</w:t>
        </w:r>
      </w:hyperlink>
    </w:p>
    <w:p>
      <w:pPr>
        <w:pStyle w:val="BodyText"/>
        <w:spacing w:line="276" w:lineRule="auto"/>
        <w:ind w:right="117"/>
      </w:pPr>
      <w:r>
        <w:rPr/>
        <w:t>§ 3º Todos os atos realizados durante a sessão de trabalho no sistema presumem-se pessoalmente</w:t>
      </w:r>
      <w:r>
        <w:rPr>
          <w:spacing w:val="40"/>
        </w:rPr>
        <w:t> </w:t>
      </w:r>
      <w:r>
        <w:rPr/>
        <w:t>praticados pelo usuário cujo perfil e senha tenham sido empregados para o acesso ao SEI.</w:t>
      </w:r>
    </w:p>
    <w:p>
      <w:pPr>
        <w:pStyle w:val="BodyText"/>
        <w:spacing w:line="276" w:lineRule="auto"/>
        <w:ind w:right="121"/>
      </w:pPr>
      <w:r>
        <w:rPr/>
        <w:t>§ 4º É responsabilidade de cada usuário manter em sigilo a respectiva senha de uso exclusivo para acesso ao SEI.</w:t>
      </w:r>
    </w:p>
    <w:p>
      <w:pPr>
        <w:pStyle w:val="BodyText"/>
        <w:spacing w:line="276" w:lineRule="auto" w:before="198"/>
        <w:ind w:right="112"/>
      </w:pPr>
      <w:r>
        <w:rPr>
          <w:b/>
        </w:rPr>
        <w:t>Art. 12º </w:t>
      </w:r>
      <w:r>
        <w:rPr/>
        <w:t>O usuário externo poderá enviar, assinar e receber documentos administrativos eletrônicos, bem como acompanhar o andamento de assuntos de seu interesse, mediante a liberação de acesso externo ao SEI, por prazo determinado, autorizado pela unidade responsável pelo processo.</w:t>
      </w:r>
    </w:p>
    <w:p>
      <w:pPr>
        <w:pStyle w:val="BodyText"/>
        <w:spacing w:line="276" w:lineRule="auto" w:before="198"/>
        <w:jc w:val="left"/>
        <w:rPr>
          <w:i/>
        </w:rPr>
      </w:pPr>
      <w:r>
        <w:rPr/>
        <w:t>§</w:t>
      </w:r>
      <w:r>
        <w:rPr>
          <w:spacing w:val="40"/>
        </w:rPr>
        <w:t> </w:t>
      </w:r>
      <w:r>
        <w:rPr/>
        <w:t>1º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pedido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credenciamento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usuário</w:t>
      </w:r>
      <w:r>
        <w:rPr>
          <w:spacing w:val="40"/>
        </w:rPr>
        <w:t> </w:t>
      </w:r>
      <w:r>
        <w:rPr/>
        <w:t>externo</w:t>
      </w:r>
      <w:r>
        <w:rPr>
          <w:spacing w:val="40"/>
        </w:rPr>
        <w:t> </w:t>
      </w:r>
      <w:r>
        <w:rPr/>
        <w:t>ao</w:t>
      </w:r>
      <w:r>
        <w:rPr>
          <w:spacing w:val="40"/>
        </w:rPr>
        <w:t> </w:t>
      </w:r>
      <w:r>
        <w:rPr/>
        <w:t>SEI</w:t>
      </w:r>
      <w:r>
        <w:rPr>
          <w:spacing w:val="40"/>
        </w:rPr>
        <w:t> </w:t>
      </w:r>
      <w:r>
        <w:rPr/>
        <w:t>é</w:t>
      </w:r>
      <w:r>
        <w:rPr>
          <w:spacing w:val="40"/>
        </w:rPr>
        <w:t> </w:t>
      </w:r>
      <w:r>
        <w:rPr/>
        <w:t>ato</w:t>
      </w:r>
      <w:r>
        <w:rPr>
          <w:spacing w:val="40"/>
        </w:rPr>
        <w:t> </w:t>
      </w:r>
      <w:r>
        <w:rPr/>
        <w:t>pessoal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intransferível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dará mediante prévio preenchimento do formulário de cadastro disponível no portal do SEI CAU: </w:t>
      </w:r>
      <w:r>
        <w:rPr>
          <w:i/>
          <w:spacing w:val="-2"/>
        </w:rPr>
        <w:t>caubr.gov.br/seicau.</w:t>
      </w:r>
    </w:p>
    <w:p>
      <w:pPr>
        <w:spacing w:after="0" w:line="276" w:lineRule="auto"/>
        <w:jc w:val="left"/>
        <w:sectPr>
          <w:pgSz w:w="11910" w:h="16840"/>
          <w:pgMar w:header="112" w:footer="604" w:top="1180" w:bottom="800" w:left="740" w:right="600"/>
        </w:sectPr>
      </w:pPr>
    </w:p>
    <w:p>
      <w:pPr>
        <w:pStyle w:val="BodyText"/>
        <w:spacing w:line="276" w:lineRule="auto" w:before="80"/>
        <w:ind w:right="121"/>
      </w:pPr>
      <w:r>
        <w:rPr/>
        <w:t>§ 2º O credenciamento para atuar no sistema está condicionado à aceitação das regras do SEI pelo usuário externo, que se responsabilizará pelo uso indevido do sistema nas esferas administrativa, civil e penal.</w:t>
      </w:r>
    </w:p>
    <w:p>
      <w:pPr>
        <w:pStyle w:val="BodyText"/>
        <w:spacing w:line="276" w:lineRule="auto" w:before="199"/>
        <w:ind w:right="118"/>
      </w:pPr>
      <w:r>
        <w:rPr>
          <w:b/>
        </w:rPr>
        <w:t>Art. 13º </w:t>
      </w:r>
      <w:r>
        <w:rPr/>
        <w:t>O usuário interno poderá gerenciar disponibilizações de acesso externo no SEI, para o fim de permitir o seu acompanhamento integral, ou apenas disponibilizar documentos para consulta externa, por período determinado, mediante motivação.</w:t>
      </w:r>
    </w:p>
    <w:p>
      <w:pPr>
        <w:pStyle w:val="BodyText"/>
        <w:spacing w:before="198"/>
      </w:pPr>
      <w:r>
        <w:rPr/>
        <w:t>Parágrafo</w:t>
      </w:r>
      <w:r>
        <w:rPr>
          <w:spacing w:val="-4"/>
        </w:rPr>
        <w:t> </w:t>
      </w:r>
      <w:r>
        <w:rPr/>
        <w:t>único.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consulta,</w:t>
      </w:r>
      <w:r>
        <w:rPr>
          <w:spacing w:val="-3"/>
        </w:rPr>
        <w:t> </w:t>
      </w:r>
      <w:r>
        <w:rPr/>
        <w:t>exclusivamente,</w:t>
      </w:r>
      <w:r>
        <w:rPr>
          <w:spacing w:val="-2"/>
        </w:rPr>
        <w:t> </w:t>
      </w:r>
      <w:r>
        <w:rPr/>
        <w:t>não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necessário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cadastro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usuário</w:t>
      </w:r>
      <w:r>
        <w:rPr>
          <w:spacing w:val="-3"/>
        </w:rPr>
        <w:t> </w:t>
      </w:r>
      <w:r>
        <w:rPr>
          <w:spacing w:val="-2"/>
        </w:rPr>
        <w:t>externo.</w:t>
      </w:r>
    </w:p>
    <w:p>
      <w:pPr>
        <w:pStyle w:val="BodyText"/>
        <w:ind w:left="0"/>
        <w:jc w:val="left"/>
        <w:rPr>
          <w:sz w:val="21"/>
        </w:rPr>
      </w:pPr>
    </w:p>
    <w:p>
      <w:pPr>
        <w:pStyle w:val="BodyText"/>
        <w:spacing w:line="276" w:lineRule="auto"/>
        <w:ind w:right="112"/>
      </w:pPr>
      <w:r>
        <w:rPr>
          <w:b/>
        </w:rPr>
        <w:t>Art. 14º </w:t>
      </w:r>
      <w:r>
        <w:rPr/>
        <w:t>O fim do vínculo institucional do usuário interno implica a desabilitação do respectivo perfil de acesso ao SEI, conforme solicitação do superior imediato.</w:t>
      </w:r>
    </w:p>
    <w:p>
      <w:pPr>
        <w:pStyle w:val="BodyText"/>
        <w:spacing w:line="276" w:lineRule="auto" w:before="199"/>
        <w:ind w:right="119"/>
      </w:pPr>
      <w:r>
        <w:rPr>
          <w:b/>
        </w:rPr>
        <w:t>Art. 15º </w:t>
      </w:r>
      <w:r>
        <w:rPr/>
        <w:t>O uso inadequado do SEI fica sujeito à apuração de responsabilidade, na forma da legislação em </w:t>
      </w:r>
      <w:r>
        <w:rPr>
          <w:spacing w:val="-2"/>
        </w:rPr>
        <w:t>vigor.</w:t>
      </w:r>
    </w:p>
    <w:p>
      <w:pPr>
        <w:pStyle w:val="BodyText"/>
        <w:spacing w:before="200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16º</w:t>
      </w:r>
      <w:r>
        <w:rPr>
          <w:b/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perfis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SEI</w:t>
      </w:r>
      <w:r>
        <w:rPr>
          <w:spacing w:val="-2"/>
        </w:rPr>
        <w:t> </w:t>
      </w:r>
      <w:r>
        <w:rPr/>
        <w:t>classificam-se</w:t>
      </w:r>
      <w:r>
        <w:rPr>
          <w:spacing w:val="-3"/>
        </w:rPr>
        <w:t> </w:t>
      </w:r>
      <w:r>
        <w:rPr>
          <w:spacing w:val="-2"/>
        </w:rPr>
        <w:t>como: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270" w:val="left" w:leader="none"/>
        </w:tabs>
        <w:spacing w:line="276" w:lineRule="auto" w:before="0" w:after="0"/>
        <w:ind w:left="114" w:right="128" w:firstLine="0"/>
        <w:jc w:val="both"/>
        <w:rPr>
          <w:sz w:val="24"/>
        </w:rPr>
      </w:pPr>
      <w:r>
        <w:rPr>
          <w:sz w:val="24"/>
        </w:rPr>
        <w:t>- acervo de sigilosos da unidade: perfil com permissão para consultar os processos sigilosos da unidade competente e para ativar credenciais;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75" w:lineRule="exact" w:before="0" w:after="0"/>
        <w:ind w:left="333" w:right="0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administrador:</w:t>
      </w:r>
      <w:r>
        <w:rPr>
          <w:spacing w:val="-3"/>
          <w:sz w:val="24"/>
        </w:rPr>
        <w:t> </w:t>
      </w:r>
      <w:r>
        <w:rPr>
          <w:sz w:val="24"/>
        </w:rPr>
        <w:t>perfil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permissão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configurar</w:t>
      </w:r>
      <w:r>
        <w:rPr>
          <w:spacing w:val="-4"/>
          <w:sz w:val="24"/>
        </w:rPr>
        <w:t> </w:t>
      </w:r>
      <w:r>
        <w:rPr>
          <w:sz w:val="24"/>
        </w:rPr>
        <w:t>itens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negócio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sistema;</w:t>
      </w:r>
    </w:p>
    <w:p>
      <w:pPr>
        <w:pStyle w:val="ListParagraph"/>
        <w:numPr>
          <w:ilvl w:val="0"/>
          <w:numId w:val="5"/>
        </w:numPr>
        <w:tabs>
          <w:tab w:pos="462" w:val="left" w:leader="none"/>
        </w:tabs>
        <w:spacing w:line="276" w:lineRule="auto" w:before="42" w:after="0"/>
        <w:ind w:left="114" w:right="118" w:firstLine="0"/>
        <w:jc w:val="both"/>
        <w:rPr>
          <w:sz w:val="24"/>
        </w:rPr>
      </w:pPr>
      <w:r>
        <w:rPr>
          <w:sz w:val="24"/>
        </w:rPr>
        <w:t>- arquivamento: perfil com permissão para executar funções específicas da área de arquivo, como registrar a localização física de documentos digitalizados e autuados no SEI, e para gerir eventual pedido</w:t>
      </w:r>
      <w:r>
        <w:rPr>
          <w:spacing w:val="40"/>
          <w:sz w:val="24"/>
        </w:rPr>
        <w:t> </w:t>
      </w:r>
      <w:r>
        <w:rPr>
          <w:sz w:val="24"/>
        </w:rPr>
        <w:t>de disponibilização da documentação física arquivada;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76" w:lineRule="auto" w:before="0" w:after="0"/>
        <w:ind w:left="114" w:right="126" w:firstLine="0"/>
        <w:jc w:val="both"/>
        <w:rPr>
          <w:sz w:val="24"/>
        </w:rPr>
      </w:pPr>
      <w:r>
        <w:rPr>
          <w:sz w:val="24"/>
        </w:rPr>
        <w:t>- básico: perfil com permissão para iniciar processos e para protocolar, autuar, produzir e assinar </w:t>
      </w:r>
      <w:r>
        <w:rPr>
          <w:spacing w:val="-2"/>
          <w:sz w:val="24"/>
        </w:rPr>
        <w:t>documentos;</w:t>
      </w:r>
    </w:p>
    <w:p>
      <w:pPr>
        <w:pStyle w:val="ListParagraph"/>
        <w:numPr>
          <w:ilvl w:val="0"/>
          <w:numId w:val="5"/>
        </w:numPr>
        <w:tabs>
          <w:tab w:pos="359" w:val="left" w:leader="none"/>
        </w:tabs>
        <w:spacing w:line="276" w:lineRule="auto" w:before="0" w:after="0"/>
        <w:ind w:left="114" w:right="125" w:firstLine="0"/>
        <w:jc w:val="both"/>
        <w:rPr>
          <w:sz w:val="24"/>
        </w:rPr>
      </w:pPr>
      <w:r>
        <w:rPr>
          <w:sz w:val="24"/>
        </w:rPr>
        <w:t>- colaborador: semelhante ao perfil básico, porém sem permissão para assinar documentos. Destinado a </w:t>
      </w:r>
      <w:r>
        <w:rPr>
          <w:spacing w:val="-2"/>
          <w:sz w:val="24"/>
        </w:rPr>
        <w:t>estagiários.</w:t>
      </w:r>
    </w:p>
    <w:p>
      <w:pPr>
        <w:pStyle w:val="ListParagraph"/>
        <w:numPr>
          <w:ilvl w:val="0"/>
          <w:numId w:val="5"/>
        </w:numPr>
        <w:tabs>
          <w:tab w:pos="427" w:val="left" w:leader="none"/>
        </w:tabs>
        <w:spacing w:line="275" w:lineRule="exact" w:before="0" w:after="0"/>
        <w:ind w:left="427" w:right="0" w:hanging="313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informática:</w:t>
      </w:r>
      <w:r>
        <w:rPr>
          <w:spacing w:val="-3"/>
          <w:sz w:val="24"/>
        </w:rPr>
        <w:t> </w:t>
      </w:r>
      <w:r>
        <w:rPr>
          <w:sz w:val="24"/>
        </w:rPr>
        <w:t>perfil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permissão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configurar</w:t>
      </w:r>
      <w:r>
        <w:rPr>
          <w:spacing w:val="-4"/>
          <w:sz w:val="24"/>
        </w:rPr>
        <w:t> </w:t>
      </w:r>
      <w:r>
        <w:rPr>
          <w:sz w:val="24"/>
        </w:rPr>
        <w:t>itens</w:t>
      </w:r>
      <w:r>
        <w:rPr>
          <w:spacing w:val="-4"/>
          <w:sz w:val="24"/>
        </w:rPr>
        <w:t> </w:t>
      </w:r>
      <w:r>
        <w:rPr>
          <w:sz w:val="24"/>
        </w:rPr>
        <w:t>técnicos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sistema;</w:t>
      </w:r>
    </w:p>
    <w:p>
      <w:pPr>
        <w:pStyle w:val="ListParagraph"/>
        <w:numPr>
          <w:ilvl w:val="0"/>
          <w:numId w:val="5"/>
        </w:numPr>
        <w:tabs>
          <w:tab w:pos="507" w:val="left" w:leader="none"/>
        </w:tabs>
        <w:spacing w:line="240" w:lineRule="auto" w:before="39" w:after="0"/>
        <w:ind w:left="507" w:right="0" w:hanging="393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inspeção:</w:t>
      </w:r>
      <w:r>
        <w:rPr>
          <w:spacing w:val="-3"/>
          <w:sz w:val="24"/>
        </w:rPr>
        <w:t> </w:t>
      </w:r>
      <w:r>
        <w:rPr>
          <w:sz w:val="24"/>
        </w:rPr>
        <w:t>perfil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permissão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rastrear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praticadas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SEI;</w:t>
      </w:r>
      <w:r>
        <w:rPr>
          <w:spacing w:val="-4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ListParagraph"/>
        <w:numPr>
          <w:ilvl w:val="0"/>
          <w:numId w:val="5"/>
        </w:numPr>
        <w:tabs>
          <w:tab w:pos="632" w:val="left" w:leader="none"/>
        </w:tabs>
        <w:spacing w:line="276" w:lineRule="auto" w:before="40" w:after="0"/>
        <w:ind w:left="114" w:right="120" w:firstLine="0"/>
        <w:jc w:val="both"/>
        <w:rPr>
          <w:sz w:val="24"/>
        </w:rPr>
      </w:pPr>
      <w:r>
        <w:rPr>
          <w:sz w:val="24"/>
        </w:rPr>
        <w:t>- ouvidoria: permite executar funções específicas de ouvidoria, como responder a formulários de ouvidoria ou gerar estatísticas sobre ouvidoria.</w:t>
      </w:r>
    </w:p>
    <w:p>
      <w:pPr>
        <w:pStyle w:val="BodyText"/>
        <w:spacing w:line="276" w:lineRule="auto" w:before="199"/>
        <w:ind w:right="133"/>
      </w:pPr>
      <w:r>
        <w:rPr/>
        <w:t>Parágrafo único.</w:t>
      </w:r>
      <w:r>
        <w:rPr>
          <w:spacing w:val="-1"/>
        </w:rPr>
        <w:t> </w:t>
      </w:r>
      <w:r>
        <w:rPr/>
        <w:t>Os perfis e</w:t>
      </w:r>
      <w:r>
        <w:rPr>
          <w:spacing w:val="-2"/>
        </w:rPr>
        <w:t> </w:t>
      </w:r>
      <w:r>
        <w:rPr/>
        <w:t>suas funcionalidades poderão ser</w:t>
      </w:r>
      <w:r>
        <w:rPr>
          <w:spacing w:val="-1"/>
        </w:rPr>
        <w:t> </w:t>
      </w:r>
      <w:r>
        <w:rPr/>
        <w:t>alterados conforme a</w:t>
      </w:r>
      <w:r>
        <w:rPr>
          <w:spacing w:val="-2"/>
        </w:rPr>
        <w:t> </w:t>
      </w:r>
      <w:r>
        <w:rPr/>
        <w:t>necessidade 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critério da administração.</w:t>
      </w:r>
    </w:p>
    <w:p>
      <w:pPr>
        <w:pStyle w:val="BodyText"/>
        <w:spacing w:line="276" w:lineRule="auto" w:before="199"/>
        <w:ind w:right="120"/>
      </w:pPr>
      <w:r>
        <w:rPr>
          <w:b/>
        </w:rPr>
        <w:t>Art. 17º </w:t>
      </w:r>
      <w:r>
        <w:rPr/>
        <w:t>Com a entrada em vigor desta Portaria Normativa, os documentos e processos administrativos produzidos no âmbito do CAU/PR deverão, à partir de 15 de janeiro de 2024, ser cadastrados e tramitados exclusivamente em formato eletrônico no SEI</w:t>
      </w:r>
    </w:p>
    <w:p>
      <w:pPr>
        <w:pStyle w:val="BodyText"/>
        <w:spacing w:line="276" w:lineRule="auto" w:before="200"/>
        <w:ind w:right="117"/>
      </w:pPr>
      <w:r>
        <w:rPr/>
        <w:t>Parágrafo único.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alcance 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definida, os</w:t>
      </w:r>
      <w:r>
        <w:rPr>
          <w:spacing w:val="-1"/>
        </w:rPr>
        <w:t> </w:t>
      </w:r>
      <w:r>
        <w:rPr/>
        <w:t>setores</w:t>
      </w:r>
      <w:r>
        <w:rPr>
          <w:spacing w:val="-1"/>
        </w:rPr>
        <w:t> </w:t>
      </w:r>
      <w:r>
        <w:rPr/>
        <w:t>deverão manter seus</w:t>
      </w:r>
      <w:r>
        <w:rPr>
          <w:spacing w:val="-1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em curso</w:t>
      </w:r>
      <w:r>
        <w:rPr>
          <w:spacing w:val="-2"/>
        </w:rPr>
        <w:t> </w:t>
      </w:r>
      <w:r>
        <w:rPr/>
        <w:t>nos sistemas em uso corrente (SICCAU).</w:t>
      </w:r>
    </w:p>
    <w:p>
      <w:pPr>
        <w:pStyle w:val="BodyText"/>
        <w:spacing w:line="276" w:lineRule="auto" w:before="200"/>
        <w:ind w:right="115"/>
      </w:pPr>
      <w:r>
        <w:rPr>
          <w:b/>
        </w:rPr>
        <w:t>Art. 18º </w:t>
      </w:r>
      <w:r>
        <w:rPr/>
        <w:t>Os processos físicos e os processos eletrônicos que tramitam em outros sistemas informatizados poderão ser digitalizados e/ou migrados para o SEI, conforme a necessidade, a critério da Administração e de acordo com as regras de gestão documental descritas na Portaria Ministerial n° 1.677 de 07 de outubro de 2015.</w:t>
      </w:r>
    </w:p>
    <w:p>
      <w:pPr>
        <w:pStyle w:val="BodyText"/>
        <w:spacing w:before="19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19º</w:t>
      </w:r>
      <w:r>
        <w:rPr>
          <w:b/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casos</w:t>
      </w:r>
      <w:r>
        <w:rPr>
          <w:spacing w:val="-4"/>
        </w:rPr>
        <w:t> </w:t>
      </w:r>
      <w:r>
        <w:rPr/>
        <w:t>omissos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excepcionais</w:t>
      </w:r>
      <w:r>
        <w:rPr>
          <w:spacing w:val="-2"/>
        </w:rPr>
        <w:t> </w:t>
      </w:r>
      <w:r>
        <w:rPr/>
        <w:t>serão</w:t>
      </w:r>
      <w:r>
        <w:rPr>
          <w:spacing w:val="-3"/>
        </w:rPr>
        <w:t> </w:t>
      </w:r>
      <w:r>
        <w:rPr/>
        <w:t>resolvidos</w:t>
      </w:r>
      <w:r>
        <w:rPr>
          <w:spacing w:val="-4"/>
        </w:rPr>
        <w:t> </w:t>
      </w:r>
      <w:r>
        <w:rPr/>
        <w:t>pela</w:t>
      </w:r>
      <w:r>
        <w:rPr>
          <w:spacing w:val="-3"/>
        </w:rPr>
        <w:t> </w:t>
      </w:r>
      <w:r>
        <w:rPr/>
        <w:t>Gerência</w:t>
      </w:r>
      <w:r>
        <w:rPr>
          <w:spacing w:val="-2"/>
        </w:rPr>
        <w:t> Geral.</w:t>
      </w:r>
    </w:p>
    <w:p>
      <w:pPr>
        <w:pStyle w:val="BodyText"/>
        <w:spacing w:before="10"/>
        <w:ind w:left="0"/>
        <w:jc w:val="left"/>
        <w:rPr>
          <w:sz w:val="20"/>
        </w:rPr>
      </w:pPr>
    </w:p>
    <w:p>
      <w:pPr>
        <w:pStyle w:val="BodyText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20º</w:t>
      </w:r>
      <w:r>
        <w:rPr>
          <w:b/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Portaria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entra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sua</w:t>
      </w:r>
      <w:r>
        <w:rPr>
          <w:spacing w:val="-3"/>
        </w:rPr>
        <w:t> </w:t>
      </w:r>
      <w:r>
        <w:rPr>
          <w:spacing w:val="-2"/>
        </w:rPr>
        <w:t>publicação.</w:t>
      </w:r>
    </w:p>
    <w:p>
      <w:pPr>
        <w:spacing w:after="0"/>
        <w:sectPr>
          <w:pgSz w:w="11910" w:h="16840"/>
          <w:pgMar w:header="112" w:footer="604" w:top="1180" w:bottom="800" w:left="740" w:right="6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  <w:spacing w:before="90"/>
        <w:ind w:left="1707"/>
        <w:jc w:val="center"/>
      </w:pPr>
      <w:r>
        <w:rPr/>
        <w:t>Arq.</w:t>
      </w:r>
      <w:r>
        <w:rPr>
          <w:spacing w:val="-4"/>
        </w:rPr>
        <w:t> </w:t>
      </w:r>
      <w:r>
        <w:rPr/>
        <w:t>Milton</w:t>
      </w:r>
      <w:r>
        <w:rPr>
          <w:spacing w:val="-3"/>
        </w:rPr>
        <w:t> </w:t>
      </w:r>
      <w:r>
        <w:rPr/>
        <w:t>Carlos</w:t>
      </w:r>
      <w:r>
        <w:rPr>
          <w:spacing w:val="-4"/>
        </w:rPr>
        <w:t> </w:t>
      </w:r>
      <w:r>
        <w:rPr/>
        <w:t>Zanelatto</w:t>
      </w:r>
      <w:r>
        <w:rPr>
          <w:spacing w:val="-3"/>
        </w:rPr>
        <w:t> </w:t>
      </w:r>
      <w:r>
        <w:rPr>
          <w:spacing w:val="-2"/>
        </w:rPr>
        <w:t>Gonçalves</w:t>
      </w:r>
    </w:p>
    <w:p>
      <w:pPr>
        <w:pStyle w:val="BodyText"/>
        <w:spacing w:line="276" w:lineRule="auto" w:before="40"/>
        <w:ind w:left="4174" w:right="4166"/>
        <w:jc w:val="center"/>
      </w:pPr>
      <w:r>
        <w:rPr/>
        <w:t>Presidente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CAU/PR CAU A52736-0</w:t>
      </w:r>
    </w:p>
    <w:sectPr>
      <w:pgSz w:w="11910" w:h="16840"/>
      <w:pgMar w:header="112" w:footer="604" w:top="1180" w:bottom="80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8480">
              <wp:simplePos x="0" y="0"/>
              <wp:positionH relativeFrom="page">
                <wp:posOffset>529590</wp:posOffset>
              </wp:positionH>
              <wp:positionV relativeFrom="page">
                <wp:posOffset>10168983</wp:posOffset>
              </wp:positionV>
              <wp:extent cx="4399915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3999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  <w:jc w:val="left"/>
                          </w:pPr>
                          <w:r>
                            <w:rPr/>
                            <w:t>PORTARIA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NORMATIVA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N°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01,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/>
                            <w:t>29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NOVEMBRO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2"/>
                            </w:rPr>
                            <w:t> 2023.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1.700001pt;margin-top:800.707397pt;width:346.45pt;height:15.3pt;mso-position-horizontal-relative:page;mso-position-vertical-relative:page;z-index:-1580800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  <w:jc w:val="left"/>
                    </w:pPr>
                    <w:r>
                      <w:rPr/>
                      <w:t>PORTARIA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NORMATIVA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N°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01,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/>
                      <w:t>29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NOVEMBRO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2"/>
                      </w:rPr>
                      <w:t> 2023.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8992">
              <wp:simplePos x="0" y="0"/>
              <wp:positionH relativeFrom="page">
                <wp:posOffset>6438900</wp:posOffset>
              </wp:positionH>
              <wp:positionV relativeFrom="page">
                <wp:posOffset>10191618</wp:posOffset>
              </wp:positionV>
              <wp:extent cx="213360" cy="16637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336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7pt;margin-top:802.489624pt;width:16.8pt;height:13.1pt;mso-position-horizontal-relative:page;mso-position-vertical-relative:page;z-index:-15807488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290817</wp:posOffset>
          </wp:positionH>
          <wp:positionV relativeFrom="page">
            <wp:posOffset>71129</wp:posOffset>
          </wp:positionV>
          <wp:extent cx="5363210" cy="61087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321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"/>
      <w:lvlJc w:val="left"/>
      <w:pPr>
        <w:ind w:left="114" w:hanging="15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1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3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3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7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6" w:hanging="15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14" w:hanging="1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3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3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7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6" w:hanging="16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53" w:hanging="1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14" w:hanging="1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1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1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3" w:hanging="1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98" w:hanging="1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3" w:hanging="1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7" w:hanging="1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6" w:hanging="1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253" w:hanging="1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4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4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13" w:right="170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4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sei.caubr.gov.br/" TargetMode="External"/><Relationship Id="rId8" Type="http://schemas.openxmlformats.org/officeDocument/2006/relationships/hyperlink" Target="mailto:sei@caupr.gov.br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title>PORTARIA NORMATIVA N° 01, DE XX DE NOVEMBRO DE 2023.</dc:title>
  <dcterms:created xsi:type="dcterms:W3CDTF">2023-11-29T12:50:05Z</dcterms:created>
  <dcterms:modified xsi:type="dcterms:W3CDTF">2023-11-29T12:50:05Z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2023-11-28T00:00:00Z</vt:filetime>
  </property>
</Properties>
</file>