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Conselheiro Walter Gustavo Linzmeyer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Distribuição dos Processos de Fiscalização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157019BD" w:rsidR="00020DA0" w:rsidRDefault="00AC02C8" w:rsidP="00B32E5A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DC39D4">
              <w:rPr>
                <w:rFonts w:ascii="Times New Roman" w:hAnsi="Times New Roman" w:cs="Times New Roman"/>
                <w:szCs w:val="24"/>
              </w:rPr>
              <w:t>41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0E1DDAEB" w:rsidR="00020DA0" w:rsidRPr="002B7A7C" w:rsidRDefault="004C26CF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DC39D4">
        <w:rPr>
          <w:rFonts w:ascii="Times New Roman" w:hAnsi="Times New Roman" w:cs="Times New Roman"/>
          <w:szCs w:val="24"/>
        </w:rPr>
        <w:t>3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DC39D4">
        <w:rPr>
          <w:rFonts w:ascii="Times New Roman" w:hAnsi="Times New Roman" w:cs="Times New Roman"/>
          <w:szCs w:val="24"/>
        </w:rPr>
        <w:t>outu</w:t>
      </w:r>
      <w:r w:rsidR="00EA27DC">
        <w:rPr>
          <w:rFonts w:ascii="Times New Roman" w:hAnsi="Times New Roman" w:cs="Times New Roman"/>
          <w:szCs w:val="24"/>
        </w:rPr>
        <w:t>bro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4EFE2333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69946C1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3984BB49" w:rsidR="00020DA0" w:rsidRPr="002B7A7C" w:rsidRDefault="004C26CF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2B7A7C">
        <w:rPr>
          <w:rFonts w:ascii="Times New Roman" w:hAnsi="Times New Roman"/>
        </w:rPr>
        <w:t xml:space="preserve">Distribuir aos conselheiros os processos </w:t>
      </w:r>
      <w:r w:rsidR="006A4E37">
        <w:rPr>
          <w:rFonts w:ascii="Times New Roman" w:hAnsi="Times New Roman"/>
        </w:rPr>
        <w:t xml:space="preserve">e protocolos </w:t>
      </w:r>
      <w:r w:rsidRPr="002B7A7C">
        <w:rPr>
          <w:rFonts w:ascii="Times New Roman" w:hAnsi="Times New Roman"/>
        </w:rPr>
        <w:t>abaixo listados para relato e voto:</w:t>
      </w:r>
    </w:p>
    <w:p w14:paraId="0A7F657B" w14:textId="07F836A5" w:rsidR="00020DA0" w:rsidRPr="00CE211D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/>
          <w:b/>
          <w:bCs/>
          <w:color w:val="000000" w:themeColor="text1"/>
          <w:szCs w:val="24"/>
        </w:rPr>
        <w:t xml:space="preserve">1.1 </w:t>
      </w:r>
      <w:r w:rsidRPr="002B7A7C">
        <w:rPr>
          <w:rFonts w:ascii="Times New Roman" w:hAnsi="Times New Roman"/>
          <w:color w:val="000000" w:themeColor="text1"/>
          <w:szCs w:val="24"/>
        </w:rPr>
        <w:t>WALTER GUSTAVO LINZMEY</w:t>
      </w:r>
      <w:r w:rsidR="00EE42E9">
        <w:rPr>
          <w:rFonts w:ascii="Times New Roman" w:hAnsi="Times New Roman"/>
          <w:color w:val="000000" w:themeColor="text1"/>
          <w:szCs w:val="24"/>
        </w:rPr>
        <w:t xml:space="preserve">ER: </w:t>
      </w:r>
      <w:r w:rsidR="00DC39D4" w:rsidRPr="00DC39D4">
        <w:rPr>
          <w:rFonts w:ascii="Times New Roman" w:hAnsi="Times New Roman"/>
          <w:color w:val="000000" w:themeColor="text1"/>
          <w:szCs w:val="24"/>
        </w:rPr>
        <w:t>1000189283-1A, 1000190577-1A, 1000193493-1A;</w:t>
      </w:r>
    </w:p>
    <w:p w14:paraId="5464E00C" w14:textId="65722E06" w:rsidR="00020DA0" w:rsidRPr="00AC02C8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1.2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MAUGHAM ZAZE: </w:t>
      </w:r>
      <w:r w:rsidR="00DC39D4" w:rsidRPr="00DC39D4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1000184997-2A, 1000193515-1A, 1000190294-1A;</w:t>
      </w:r>
    </w:p>
    <w:p w14:paraId="535AF0B9" w14:textId="6583D224" w:rsidR="006A4E37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1.3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ORMY LEOCÁDIO </w:t>
      </w:r>
      <w:r w:rsidR="006A4E37">
        <w:rPr>
          <w:rFonts w:ascii="Times New Roman" w:hAnsi="Times New Roman" w:cs="Times New Roman"/>
          <w:szCs w:val="24"/>
        </w:rPr>
        <w:t>HÜTNER JUNIOR:</w:t>
      </w:r>
      <w:r w:rsidR="00CE211D">
        <w:rPr>
          <w:rFonts w:ascii="Times New Roman" w:hAnsi="Times New Roman" w:cs="Times New Roman"/>
          <w:szCs w:val="24"/>
        </w:rPr>
        <w:t xml:space="preserve"> </w:t>
      </w:r>
      <w:r w:rsidR="00DC39D4" w:rsidRPr="00DC39D4">
        <w:rPr>
          <w:rFonts w:ascii="Times New Roman" w:hAnsi="Times New Roman" w:cs="Times New Roman"/>
          <w:szCs w:val="24"/>
        </w:rPr>
        <w:t>1481051/2022, 1000196240-1A, 1000196001-2A, 1000190267-1A, 1000193753-1A, 1638559/2023; e</w:t>
      </w:r>
    </w:p>
    <w:p w14:paraId="78C9C242" w14:textId="08B8DA50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6A4E37">
        <w:rPr>
          <w:rFonts w:ascii="Times New Roman" w:hAnsi="Times New Roman" w:cs="Times New Roman"/>
          <w:b/>
          <w:szCs w:val="24"/>
        </w:rPr>
        <w:t>1.4</w:t>
      </w:r>
      <w:r w:rsidR="006A4E37">
        <w:rPr>
          <w:rFonts w:ascii="Times New Roman" w:hAnsi="Times New Roman" w:cs="Times New Roman"/>
          <w:szCs w:val="24"/>
        </w:rPr>
        <w:t xml:space="preserve"> R</w:t>
      </w:r>
      <w:r w:rsidR="00EE42E9">
        <w:rPr>
          <w:rFonts w:ascii="Times New Roman" w:hAnsi="Times New Roman" w:cs="Times New Roman"/>
          <w:szCs w:val="24"/>
        </w:rPr>
        <w:t>ICARDO LUIZ LEITES DE OLIVEIRA:</w:t>
      </w:r>
      <w:r w:rsidR="00C10541">
        <w:rPr>
          <w:rFonts w:ascii="Times New Roman" w:hAnsi="Times New Roman" w:cs="Times New Roman"/>
          <w:szCs w:val="24"/>
        </w:rPr>
        <w:t xml:space="preserve"> </w:t>
      </w:r>
      <w:r w:rsidR="00DC39D4" w:rsidRPr="00DC39D4">
        <w:rPr>
          <w:rFonts w:ascii="Times New Roman" w:hAnsi="Times New Roman" w:cs="Times New Roman"/>
          <w:szCs w:val="24"/>
        </w:rPr>
        <w:t>1000190730-1A, 1000190730-1B, 1000194200-1A.</w:t>
      </w:r>
    </w:p>
    <w:p w14:paraId="6F2E4646" w14:textId="77777777" w:rsidR="00020DA0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3DA5B45F" w:rsidR="00020DA0" w:rsidRPr="002B7A7C" w:rsidRDefault="00DC39D4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3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outu</w:t>
      </w:r>
      <w:r w:rsidR="00EA27DC">
        <w:rPr>
          <w:rFonts w:ascii="Times New Roman" w:hAnsi="Times New Roman" w:cs="Times New Roman"/>
          <w:szCs w:val="24"/>
        </w:rPr>
        <w:t>bro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p w14:paraId="1D5881F2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77DF1AF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114F31">
        <w:trPr>
          <w:trHeight w:val="1984"/>
        </w:trPr>
        <w:tc>
          <w:tcPr>
            <w:tcW w:w="4962" w:type="dxa"/>
            <w:vAlign w:val="bottom"/>
          </w:tcPr>
          <w:p w14:paraId="2BB58800" w14:textId="2626D616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114F31">
        <w:trPr>
          <w:trHeight w:val="1984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549EE003" w14:textId="77777777" w:rsidR="00114F31" w:rsidRPr="00114F31" w:rsidRDefault="00114F31">
      <w:pPr>
        <w:spacing w:after="0" w:line="240" w:lineRule="auto"/>
        <w:ind w:left="0" w:firstLine="0"/>
        <w:jc w:val="left"/>
        <w:rPr>
          <w:rFonts w:ascii="Times New Roman" w:eastAsia="Calibri" w:hAnsi="Times New Roman"/>
          <w:b/>
          <w:bCs/>
          <w:sz w:val="2"/>
          <w:szCs w:val="2"/>
        </w:rPr>
      </w:pPr>
      <w:r w:rsidRPr="00114F31">
        <w:rPr>
          <w:rFonts w:ascii="Times New Roman" w:eastAsia="Calibri" w:hAnsi="Times New Roman"/>
          <w:b/>
          <w:bCs/>
          <w:sz w:val="2"/>
          <w:szCs w:val="2"/>
        </w:rPr>
        <w:br w:type="page"/>
      </w:r>
    </w:p>
    <w:p w14:paraId="08A86826" w14:textId="098F2C30" w:rsidR="00020DA0" w:rsidRDefault="00DC39D4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10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13D7DB95" w:rsidR="00020DA0" w:rsidRDefault="00EA27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5B0FA67D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153B8DF0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C39D4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07F339E5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C39D4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DC39D4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Distribuição dos processos de Fiscalização</w:t>
            </w:r>
          </w:p>
          <w:p w14:paraId="37409928" w14:textId="16177360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EA27DC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EA27DC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9CE2" w14:textId="77777777" w:rsidR="006C216E" w:rsidRDefault="006C216E">
      <w:pPr>
        <w:spacing w:after="0" w:line="240" w:lineRule="auto"/>
      </w:pPr>
      <w:r>
        <w:separator/>
      </w:r>
    </w:p>
  </w:endnote>
  <w:endnote w:type="continuationSeparator" w:id="0">
    <w:p w14:paraId="4F89AF2A" w14:textId="77777777" w:rsidR="006C216E" w:rsidRDefault="006C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285B9686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AC02C8">
      <w:rPr>
        <w:rFonts w:ascii="DaxCondensed" w:hAnsi="DaxCondensed"/>
        <w:b/>
        <w:color w:val="A6A6A6"/>
        <w:spacing w:val="1"/>
        <w:sz w:val="18"/>
      </w:rPr>
      <w:t>1</w:t>
    </w:r>
    <w:r w:rsidR="00DC39D4">
      <w:rPr>
        <w:rFonts w:ascii="DaxCondensed" w:hAnsi="DaxCondensed"/>
        <w:b/>
        <w:color w:val="A6A6A6"/>
        <w:spacing w:val="1"/>
        <w:sz w:val="18"/>
      </w:rPr>
      <w:t>41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63B66">
      <w:rPr>
        <w:rFonts w:ascii="DaxCondensed" w:hAnsi="DaxCondensed"/>
        <w:b/>
        <w:color w:val="A6A6A6"/>
        <w:spacing w:val="-2"/>
        <w:sz w:val="18"/>
      </w:rPr>
      <w:t xml:space="preserve"> 2</w:t>
    </w:r>
    <w:r w:rsidR="00DC39D4">
      <w:rPr>
        <w:rFonts w:ascii="DaxCondensed" w:hAnsi="DaxCondensed"/>
        <w:b/>
        <w:color w:val="A6A6A6"/>
        <w:spacing w:val="-2"/>
        <w:sz w:val="18"/>
      </w:rPr>
      <w:t>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C39D4">
      <w:rPr>
        <w:rFonts w:ascii="DaxCondensed" w:hAnsi="DaxCondensed"/>
        <w:b/>
        <w:color w:val="A6A6A6"/>
        <w:spacing w:val="-3"/>
        <w:sz w:val="18"/>
      </w:rPr>
      <w:t>outu</w:t>
    </w:r>
    <w:r w:rsidR="00EA27DC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E165" w14:textId="77777777" w:rsidR="006C216E" w:rsidRDefault="006C216E">
      <w:pPr>
        <w:spacing w:after="0" w:line="240" w:lineRule="auto"/>
      </w:pPr>
      <w:r>
        <w:separator/>
      </w:r>
    </w:p>
  </w:footnote>
  <w:footnote w:type="continuationSeparator" w:id="0">
    <w:p w14:paraId="0891670C" w14:textId="77777777" w:rsidR="006C216E" w:rsidRDefault="006C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26716"/>
      <w:docPartObj>
        <w:docPartGallery w:val="Page Numbers (Top of Page)"/>
        <w:docPartUnique/>
      </w:docPartObj>
    </w:sdtPr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C39D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C39D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46294332">
    <w:abstractNumId w:val="1"/>
  </w:num>
  <w:num w:numId="2" w16cid:durableId="21910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A0"/>
    <w:rsid w:val="00020DA0"/>
    <w:rsid w:val="000B20A2"/>
    <w:rsid w:val="00114F31"/>
    <w:rsid w:val="00163B66"/>
    <w:rsid w:val="001C38B5"/>
    <w:rsid w:val="001F5BA8"/>
    <w:rsid w:val="002156E6"/>
    <w:rsid w:val="002B7A7C"/>
    <w:rsid w:val="002C3D04"/>
    <w:rsid w:val="002E13C2"/>
    <w:rsid w:val="00330B3E"/>
    <w:rsid w:val="003F4A23"/>
    <w:rsid w:val="00407E0B"/>
    <w:rsid w:val="004C26CF"/>
    <w:rsid w:val="005476CB"/>
    <w:rsid w:val="0057420E"/>
    <w:rsid w:val="005862FF"/>
    <w:rsid w:val="005E6E2E"/>
    <w:rsid w:val="006A4E37"/>
    <w:rsid w:val="006C216E"/>
    <w:rsid w:val="008C1B78"/>
    <w:rsid w:val="009F4B6C"/>
    <w:rsid w:val="00AC02C8"/>
    <w:rsid w:val="00AE1620"/>
    <w:rsid w:val="00B07A4B"/>
    <w:rsid w:val="00B32E5A"/>
    <w:rsid w:val="00B64801"/>
    <w:rsid w:val="00B76C4F"/>
    <w:rsid w:val="00C10541"/>
    <w:rsid w:val="00C4781E"/>
    <w:rsid w:val="00CB2EE7"/>
    <w:rsid w:val="00CE211D"/>
    <w:rsid w:val="00D35B22"/>
    <w:rsid w:val="00D62681"/>
    <w:rsid w:val="00DC39D4"/>
    <w:rsid w:val="00EA27DC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cp:lastPrinted>2023-12-04T15:20:00Z</cp:lastPrinted>
  <dcterms:created xsi:type="dcterms:W3CDTF">2023-12-04T15:20:00Z</dcterms:created>
  <dcterms:modified xsi:type="dcterms:W3CDTF">2023-12-04T15:20:00Z</dcterms:modified>
  <dc:language>pt-BR</dc:language>
</cp:coreProperties>
</file>