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E700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030858FD" w:rsidR="00E05F2F" w:rsidRPr="00E70087" w:rsidRDefault="00E05F2F" w:rsidP="00807A0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CE5C47">
              <w:rPr>
                <w:rFonts w:ascii="Times New Roman" w:hAnsi="Times New Roman"/>
                <w:b/>
                <w:smallCaps/>
                <w:kern w:val="32"/>
              </w:rPr>
              <w:t>1</w:t>
            </w:r>
            <w:r w:rsidR="00807A01">
              <w:rPr>
                <w:rFonts w:ascii="Times New Roman" w:hAnsi="Times New Roman"/>
                <w:b/>
                <w:smallCaps/>
                <w:kern w:val="32"/>
              </w:rPr>
              <w:t>1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ª REUNIÃO ORDINÁRIA 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E70087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EE2472">
              <w:rPr>
                <w:rFonts w:ascii="Times New Roman" w:hAnsi="Times New Roman"/>
                <w:b/>
                <w:smallCaps/>
                <w:kern w:val="32"/>
              </w:rPr>
              <w:t>PUA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7AB86BE1" w14:textId="77777777" w:rsidR="0022222B" w:rsidRPr="00E70087" w:rsidRDefault="0022222B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E700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5788C271" w:rsidR="00E05F2F" w:rsidRPr="00E70087" w:rsidRDefault="007F0881" w:rsidP="007F0881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13</w:t>
            </w:r>
            <w:r w:rsidR="00B46FFF">
              <w:rPr>
                <w:rFonts w:ascii="Times New Roman" w:hAnsi="Times New Roman"/>
                <w:spacing w:val="4"/>
              </w:rPr>
              <w:t xml:space="preserve"> de </w:t>
            </w:r>
            <w:r>
              <w:rPr>
                <w:rFonts w:ascii="Times New Roman" w:hAnsi="Times New Roman"/>
                <w:spacing w:val="4"/>
              </w:rPr>
              <w:t>dezembro</w:t>
            </w:r>
            <w:r w:rsidR="0039088D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5FDA28A6" w:rsidR="00E05F2F" w:rsidRPr="00E70087" w:rsidRDefault="007F0881" w:rsidP="007F0881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09</w:t>
            </w:r>
            <w:r w:rsidR="006A286C" w:rsidRPr="00E70087">
              <w:rPr>
                <w:rFonts w:ascii="Times New Roman" w:hAnsi="Times New Roman"/>
                <w:spacing w:val="4"/>
              </w:rPr>
              <w:t xml:space="preserve">h às </w:t>
            </w:r>
            <w:r>
              <w:rPr>
                <w:rFonts w:ascii="Times New Roman" w:hAnsi="Times New Roman"/>
                <w:spacing w:val="4"/>
              </w:rPr>
              <w:t>12</w:t>
            </w:r>
            <w:r w:rsidR="0039088D">
              <w:rPr>
                <w:rFonts w:ascii="Times New Roman" w:hAnsi="Times New Roman"/>
                <w:spacing w:val="4"/>
              </w:rPr>
              <w:t>h00</w:t>
            </w:r>
          </w:p>
        </w:tc>
      </w:tr>
      <w:tr w:rsidR="00E05F2F" w:rsidRPr="00E700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467E3A56" w:rsidR="00E05F2F" w:rsidRPr="00E70087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</w:rPr>
              <w:t>V</w:t>
            </w:r>
            <w:r w:rsidR="00A54D95" w:rsidRPr="00E70087">
              <w:rPr>
                <w:rFonts w:ascii="Times New Roman" w:hAnsi="Times New Roman"/>
              </w:rPr>
              <w:t xml:space="preserve">irtual, </w:t>
            </w:r>
            <w:r w:rsidRPr="00E70087">
              <w:rPr>
                <w:rFonts w:ascii="Times New Roman" w:hAnsi="Times New Roman"/>
              </w:rPr>
              <w:t>p</w:t>
            </w:r>
            <w:r w:rsidR="00A54D95" w:rsidRPr="00E70087">
              <w:rPr>
                <w:rFonts w:ascii="Times New Roman" w:hAnsi="Times New Roman"/>
              </w:rPr>
              <w:t xml:space="preserve">lataforma </w:t>
            </w:r>
            <w:r w:rsidR="00EE2472">
              <w:rPr>
                <w:rFonts w:ascii="Times New Roman" w:hAnsi="Times New Roman"/>
                <w:i/>
                <w:iCs/>
              </w:rPr>
              <w:t>Zoom</w:t>
            </w:r>
          </w:p>
        </w:tc>
      </w:tr>
    </w:tbl>
    <w:p w14:paraId="66A51E5B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E700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E70087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08C7566C" w:rsidR="005122D5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Ormy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Leocádio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Hutner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Junior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624B20C9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Coordenador</w:t>
            </w:r>
          </w:p>
        </w:tc>
      </w:tr>
      <w:tr w:rsidR="005122D5" w:rsidRPr="00E700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4F1035C7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</w:rPr>
              <w:t>Constança Lacerda Camargo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5C058CE0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Coordenadora Adjunta</w:t>
            </w:r>
          </w:p>
        </w:tc>
      </w:tr>
      <w:tr w:rsidR="005122D5" w:rsidRPr="00E700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A434B2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Zaze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0283302D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Membro</w:t>
            </w:r>
            <w:r w:rsidR="00EE2472">
              <w:rPr>
                <w:rFonts w:ascii="Times New Roman" w:hAnsi="Times New Roman"/>
                <w:spacing w:val="4"/>
              </w:rPr>
              <w:t xml:space="preserve"> Titular</w:t>
            </w:r>
          </w:p>
        </w:tc>
      </w:tr>
      <w:tr w:rsidR="00BA0D7E" w:rsidRPr="00E700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E70087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417B2502" w:rsidR="00BA0D7E" w:rsidRPr="00E70087" w:rsidRDefault="007F0881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Alessandro Boncompagni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3805E92F" w:rsidR="00315FAB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CPUA</w:t>
            </w:r>
          </w:p>
          <w:p w14:paraId="7AEF5ED5" w14:textId="48E973CC" w:rsidR="00BA0D7E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    </w:t>
            </w:r>
            <w:proofErr w:type="spellStart"/>
            <w:proofErr w:type="gramStart"/>
            <w:r w:rsidRPr="00E70087">
              <w:rPr>
                <w:rFonts w:ascii="Times New Roman" w:hAnsi="Times New Roman"/>
                <w:spacing w:val="4"/>
              </w:rPr>
              <w:t>cefcefCEFPR</w:t>
            </w:r>
            <w:r w:rsidR="00CF6404" w:rsidRPr="00E70087">
              <w:rPr>
                <w:rFonts w:ascii="Times New Roman" w:hAnsi="Times New Roman"/>
                <w:spacing w:val="4"/>
              </w:rPr>
              <w:t>CAU</w:t>
            </w:r>
            <w:proofErr w:type="spellEnd"/>
            <w:proofErr w:type="gramEnd"/>
            <w:r w:rsidR="00CF6404" w:rsidRPr="00E70087">
              <w:rPr>
                <w:rFonts w:ascii="Times New Roman" w:hAnsi="Times New Roman"/>
                <w:spacing w:val="4"/>
              </w:rPr>
              <w:t>/PR</w:t>
            </w:r>
          </w:p>
        </w:tc>
      </w:tr>
    </w:tbl>
    <w:p w14:paraId="7BF7CDC0" w14:textId="77777777" w:rsidR="00963695" w:rsidRPr="00E70087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4"/>
      </w:tblGrid>
      <w:tr w:rsidR="00963695" w:rsidRPr="00E70087" w14:paraId="677F28A5" w14:textId="77777777" w:rsidTr="00807A01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77C8C0C7" w:rsidR="00963695" w:rsidRPr="00E70087" w:rsidRDefault="00A53F97" w:rsidP="00963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 e Aprovação da Súmula de reunião anterior</w:t>
            </w:r>
          </w:p>
        </w:tc>
      </w:tr>
      <w:tr w:rsidR="00963695" w:rsidRPr="00A53F97" w14:paraId="2DD9EB42" w14:textId="77777777" w:rsidTr="00807A01">
        <w:trPr>
          <w:jc w:val="center"/>
        </w:trPr>
        <w:tc>
          <w:tcPr>
            <w:tcW w:w="2127" w:type="dxa"/>
            <w:shd w:val="clear" w:color="auto" w:fill="D9D9D9"/>
          </w:tcPr>
          <w:p w14:paraId="14472A9F" w14:textId="5605FB2B" w:rsidR="00963695" w:rsidRPr="00E70087" w:rsidRDefault="00963695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6944" w:type="dxa"/>
            <w:vAlign w:val="center"/>
          </w:tcPr>
          <w:p w14:paraId="093ABFBA" w14:textId="18957AF4" w:rsidR="00963695" w:rsidRPr="00E70087" w:rsidRDefault="004F477A" w:rsidP="004F477A">
            <w:pPr>
              <w:jc w:val="both"/>
            </w:pPr>
            <w:r w:rsidRPr="004F477A">
              <w:t>Não houve aprovação das Súmulas das Reuniões nº 09/2021 e 10/2021 pois as mesmas não puderam ser instaladas por falta de quórum para sua realização.</w:t>
            </w:r>
          </w:p>
        </w:tc>
      </w:tr>
    </w:tbl>
    <w:p w14:paraId="51A3345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E70087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E70087" w:rsidRDefault="00930B7C" w:rsidP="00930B7C">
            <w:pPr>
              <w:jc w:val="center"/>
            </w:pPr>
            <w:r w:rsidRPr="00E70087">
              <w:rPr>
                <w:b/>
                <w:bCs/>
              </w:rPr>
              <w:t>Comunicações</w:t>
            </w:r>
          </w:p>
        </w:tc>
      </w:tr>
      <w:tr w:rsidR="000D6D5B" w:rsidRPr="00E70087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54CF3ECB" w:rsidR="000D6D5B" w:rsidRPr="00E70087" w:rsidRDefault="0022222B" w:rsidP="002523D8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0D6D5B" w:rsidRPr="00E70087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0C0A84B5" w:rsidR="000D6D5B" w:rsidRPr="00E70087" w:rsidRDefault="0022222B" w:rsidP="00CE5C47">
            <w:pPr>
              <w:jc w:val="both"/>
            </w:pPr>
            <w:r>
              <w:t xml:space="preserve">O 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</w:t>
            </w:r>
            <w:r w:rsidR="005C74E3">
              <w:t>apenas comunicou que esta seria a última reunião do ano</w:t>
            </w:r>
            <w:r w:rsidR="00CE5C47">
              <w:t xml:space="preserve"> de 2021</w:t>
            </w:r>
            <w:r w:rsidR="005C74E3">
              <w:t xml:space="preserve"> e que a pauta principal seria a criação da Comissão Temporária de ATHIS. </w:t>
            </w:r>
          </w:p>
        </w:tc>
      </w:tr>
    </w:tbl>
    <w:p w14:paraId="07F533BF" w14:textId="77777777" w:rsidR="008A37DE" w:rsidRPr="00E70087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3AB1EDEF" w14:textId="7FAF4AF9" w:rsidR="000D6D5B" w:rsidRPr="00CE5C47" w:rsidRDefault="00E05F2F" w:rsidP="005C74E3">
      <w:pPr>
        <w:shd w:val="clear" w:color="auto" w:fill="D9D9D9"/>
        <w:jc w:val="center"/>
        <w:rPr>
          <w:rFonts w:ascii="Times New Roman" w:hAnsi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C47">
        <w:rPr>
          <w:rStyle w:val="nfaseSutil"/>
          <w:rFonts w:ascii="Times New Roman" w:hAnsi="Times New Roman"/>
          <w:b/>
          <w:i w:val="0"/>
          <w:color w:val="000000" w:themeColor="text1"/>
        </w:rPr>
        <w:t>ORDEM DO DIA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E70087" w14:paraId="7137FFB3" w14:textId="77777777" w:rsidTr="009F7FC5">
        <w:trPr>
          <w:tblHeader/>
        </w:trPr>
        <w:tc>
          <w:tcPr>
            <w:tcW w:w="1843" w:type="dxa"/>
            <w:shd w:val="clear" w:color="auto" w:fill="D9D9D9"/>
          </w:tcPr>
          <w:p w14:paraId="5701B19B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6A22DFAC" w:rsidR="000D6D5B" w:rsidRPr="00E70087" w:rsidRDefault="005C74E3" w:rsidP="00FC2A07">
            <w:pPr>
              <w:rPr>
                <w:b/>
              </w:rPr>
            </w:pPr>
            <w:r>
              <w:rPr>
                <w:b/>
              </w:rPr>
              <w:t>Comissão Temporária de ATHIS</w:t>
            </w:r>
          </w:p>
        </w:tc>
      </w:tr>
      <w:tr w:rsidR="000D6D5B" w:rsidRPr="00E70087" w14:paraId="34F8D4CF" w14:textId="77777777" w:rsidTr="009F7FC5">
        <w:tc>
          <w:tcPr>
            <w:tcW w:w="1843" w:type="dxa"/>
            <w:shd w:val="clear" w:color="auto" w:fill="D9D9D9"/>
          </w:tcPr>
          <w:p w14:paraId="0C595D0F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56EBB1DC" w:rsidR="000D6D5B" w:rsidRPr="00E70087" w:rsidRDefault="005C74E3" w:rsidP="009F7FC5">
            <w:r>
              <w:t>CPUA</w:t>
            </w:r>
          </w:p>
        </w:tc>
      </w:tr>
      <w:tr w:rsidR="000D6D5B" w:rsidRPr="00E70087" w14:paraId="5684C46E" w14:textId="77777777" w:rsidTr="009F7FC5">
        <w:tc>
          <w:tcPr>
            <w:tcW w:w="1843" w:type="dxa"/>
            <w:shd w:val="clear" w:color="auto" w:fill="D9D9D9"/>
          </w:tcPr>
          <w:p w14:paraId="4908C883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3FDCC933" w:rsidR="000D6D5B" w:rsidRPr="00E70087" w:rsidRDefault="005C74E3" w:rsidP="009F7FC5">
            <w:pPr>
              <w:rPr>
                <w:bCs/>
              </w:rPr>
            </w:pPr>
            <w:proofErr w:type="spellStart"/>
            <w:r>
              <w:rPr>
                <w:bCs/>
              </w:rPr>
              <w:t>Ormy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Leocádio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Hütner</w:t>
            </w:r>
            <w:proofErr w:type="spellEnd"/>
            <w:r>
              <w:rPr>
                <w:bCs/>
              </w:rPr>
              <w:t xml:space="preserve"> Junior</w:t>
            </w:r>
          </w:p>
        </w:tc>
      </w:tr>
      <w:tr w:rsidR="000D6D5B" w:rsidRPr="00E70087" w14:paraId="2CFB6246" w14:textId="77777777" w:rsidTr="009F7FC5">
        <w:tc>
          <w:tcPr>
            <w:tcW w:w="1843" w:type="dxa"/>
            <w:shd w:val="clear" w:color="auto" w:fill="D9D9D9"/>
          </w:tcPr>
          <w:p w14:paraId="3E709317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2830213" w14:textId="638235F8" w:rsidR="00EF773F" w:rsidRPr="00CE5C47" w:rsidRDefault="005C74E3" w:rsidP="00CE5C47">
            <w:pPr>
              <w:pStyle w:val="PargrafodaLista"/>
              <w:numPr>
                <w:ilvl w:val="0"/>
                <w:numId w:val="35"/>
              </w:numPr>
              <w:ind w:left="272" w:hanging="283"/>
              <w:jc w:val="both"/>
            </w:pPr>
            <w:r w:rsidRPr="00CE5C47">
              <w:t xml:space="preserve">O Coordenador da CPUA </w:t>
            </w:r>
            <w:r w:rsidR="00DF3359" w:rsidRPr="00CE5C47">
              <w:t xml:space="preserve">ORMY LEOCÁDIO HÜTNER </w:t>
            </w:r>
            <w:r w:rsidRPr="00CE5C47">
              <w:t>fez uma breve introdução sobre a necessidade de criação da Comissão Temporária de ATHIS e com</w:t>
            </w:r>
            <w:r w:rsidR="00EF773F" w:rsidRPr="00CE5C47">
              <w:t>o o ato corroborava com</w:t>
            </w:r>
            <w:r w:rsidRPr="00CE5C47">
              <w:t xml:space="preserve"> os Objetivos de Desenvolvimento Sustentável </w:t>
            </w:r>
            <w:r w:rsidR="00EF773F" w:rsidRPr="00CE5C47">
              <w:t xml:space="preserve">que seriam abordados pela CPUA </w:t>
            </w:r>
            <w:r w:rsidRPr="00CE5C47">
              <w:t>neste ano. Foi apresentado um documento com os t</w:t>
            </w:r>
            <w:r w:rsidR="00EF773F" w:rsidRPr="00CE5C47">
              <w:t>ópicos necessários de preenchimento para sugestão</w:t>
            </w:r>
            <w:r w:rsidRPr="00CE5C47">
              <w:t xml:space="preserve"> de criação da comissão </w:t>
            </w:r>
            <w:r w:rsidR="00EF773F" w:rsidRPr="00CE5C47">
              <w:t>com o intuito de ser aprovada na próxima reunião plenária ordinária. Após o debate dos conselheiros a sugestão a ser encaminhada para apreciação do plenário ficou com a seguinte redação:</w:t>
            </w:r>
          </w:p>
          <w:p w14:paraId="38439EEE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Problema identificado</w:t>
            </w:r>
          </w:p>
          <w:p w14:paraId="1534EA27" w14:textId="77777777" w:rsidR="00EF773F" w:rsidRPr="00EF773F" w:rsidRDefault="00EF773F" w:rsidP="00EF773F">
            <w:pPr>
              <w:numPr>
                <w:ilvl w:val="0"/>
                <w:numId w:val="36"/>
              </w:numPr>
              <w:jc w:val="both"/>
            </w:pPr>
            <w:r w:rsidRPr="00EF773F">
              <w:t>Pauta densa e interdisciplinar.</w:t>
            </w:r>
          </w:p>
          <w:p w14:paraId="2A079DE8" w14:textId="77777777" w:rsidR="00EF773F" w:rsidRPr="00EF773F" w:rsidRDefault="00EF773F" w:rsidP="00EF773F">
            <w:pPr>
              <w:numPr>
                <w:ilvl w:val="0"/>
                <w:numId w:val="36"/>
              </w:numPr>
              <w:jc w:val="both"/>
            </w:pPr>
            <w:r w:rsidRPr="00EF773F">
              <w:t>Necessidade de agregar setores de diferentes esferas para discussão do tema.</w:t>
            </w:r>
          </w:p>
          <w:p w14:paraId="4A2056B3" w14:textId="2704E2F6" w:rsidR="00EF773F" w:rsidRPr="00EF773F" w:rsidRDefault="00EF773F" w:rsidP="00EF773F">
            <w:pPr>
              <w:numPr>
                <w:ilvl w:val="0"/>
                <w:numId w:val="36"/>
              </w:numPr>
              <w:jc w:val="both"/>
            </w:pPr>
            <w:r w:rsidRPr="00EF773F">
              <w:t>Inclusão e operacionalização do papel do CAU/PR na ATHIS.</w:t>
            </w:r>
          </w:p>
          <w:p w14:paraId="55AAE3D3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Justificativa para criação da comissão / pertinência do tema às atividades do órgão proponente</w:t>
            </w:r>
          </w:p>
          <w:p w14:paraId="5DEBC5AB" w14:textId="1B3889D9" w:rsidR="00EF773F" w:rsidRPr="00EF773F" w:rsidRDefault="00EF773F" w:rsidP="00EF773F">
            <w:pPr>
              <w:numPr>
                <w:ilvl w:val="0"/>
                <w:numId w:val="38"/>
              </w:numPr>
              <w:jc w:val="both"/>
            </w:pPr>
            <w:r w:rsidRPr="00EF773F">
              <w:t>Parametrização das soluções e alternativas de implementação das ações voltadas a ATHIS, na forma de políticas públicas que possam dirimir os problemas identificados, em conformidade com o planejamento estratégico do CAU/PR</w:t>
            </w:r>
          </w:p>
          <w:p w14:paraId="390B1826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lastRenderedPageBreak/>
              <w:t>Objetivo do grupo</w:t>
            </w:r>
          </w:p>
          <w:p w14:paraId="79AA3A46" w14:textId="77777777" w:rsidR="00EF773F" w:rsidRPr="00EF773F" w:rsidRDefault="00EF773F" w:rsidP="00EF773F">
            <w:pPr>
              <w:numPr>
                <w:ilvl w:val="0"/>
                <w:numId w:val="38"/>
              </w:numPr>
              <w:jc w:val="both"/>
            </w:pPr>
            <w:r w:rsidRPr="00EF773F">
              <w:t>Planejar estratégias para melhor distribuição dos recursos do CAU/PR destinados ao tema.</w:t>
            </w:r>
          </w:p>
          <w:p w14:paraId="692DC62A" w14:textId="45F21870" w:rsidR="00EF773F" w:rsidRPr="00EF773F" w:rsidRDefault="00EF773F" w:rsidP="00EF773F">
            <w:pPr>
              <w:numPr>
                <w:ilvl w:val="0"/>
                <w:numId w:val="37"/>
              </w:numPr>
              <w:jc w:val="both"/>
            </w:pPr>
            <w:r w:rsidRPr="00EF773F">
              <w:t>Criar parcerias com entes do estado e da sociedade civil.</w:t>
            </w:r>
          </w:p>
          <w:p w14:paraId="1C182C5A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Material</w:t>
            </w:r>
          </w:p>
          <w:p w14:paraId="666A2C2B" w14:textId="77777777" w:rsidR="00EF773F" w:rsidRPr="00EF773F" w:rsidRDefault="00EF773F" w:rsidP="00EF773F">
            <w:pPr>
              <w:numPr>
                <w:ilvl w:val="0"/>
                <w:numId w:val="37"/>
              </w:numPr>
              <w:jc w:val="both"/>
            </w:pPr>
            <w:r w:rsidRPr="00EF773F">
              <w:t>Evento – Mesa de Debate e Oficina – Diretrizes de Políticas Públicas para implementação de ATHIS no Paraná.</w:t>
            </w:r>
          </w:p>
          <w:p w14:paraId="72A1B76B" w14:textId="3B9E2052" w:rsidR="00EF773F" w:rsidRPr="00EF773F" w:rsidRDefault="00EF773F" w:rsidP="00EF773F">
            <w:pPr>
              <w:numPr>
                <w:ilvl w:val="0"/>
                <w:numId w:val="37"/>
              </w:numPr>
              <w:jc w:val="both"/>
            </w:pPr>
            <w:r w:rsidRPr="00EF773F">
              <w:t>Produção de material Audiovisual / Relatório das conclusões alcançadas no evento.</w:t>
            </w:r>
          </w:p>
          <w:p w14:paraId="41067876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Assuntos que serão abordados</w:t>
            </w:r>
          </w:p>
          <w:p w14:paraId="3048129F" w14:textId="77777777" w:rsidR="00EF773F" w:rsidRPr="00EF773F" w:rsidRDefault="00EF773F" w:rsidP="00EF773F">
            <w:pPr>
              <w:numPr>
                <w:ilvl w:val="0"/>
                <w:numId w:val="39"/>
              </w:numPr>
              <w:jc w:val="both"/>
            </w:pPr>
            <w:r w:rsidRPr="00EF773F">
              <w:t>Dificuldade na implementação de ATHIS.</w:t>
            </w:r>
          </w:p>
          <w:p w14:paraId="57FF29BD" w14:textId="77777777" w:rsidR="00EF773F" w:rsidRPr="00EF773F" w:rsidRDefault="00EF773F" w:rsidP="00EF773F">
            <w:pPr>
              <w:numPr>
                <w:ilvl w:val="0"/>
                <w:numId w:val="39"/>
              </w:numPr>
              <w:jc w:val="both"/>
            </w:pPr>
            <w:r w:rsidRPr="00EF773F">
              <w:t>Diretrizes de Políticas Públicas.</w:t>
            </w:r>
          </w:p>
          <w:p w14:paraId="72F1188A" w14:textId="77777777" w:rsidR="00EF773F" w:rsidRPr="00EF773F" w:rsidRDefault="00EF773F" w:rsidP="00EF773F">
            <w:pPr>
              <w:numPr>
                <w:ilvl w:val="0"/>
                <w:numId w:val="39"/>
              </w:numPr>
              <w:jc w:val="both"/>
            </w:pPr>
            <w:r w:rsidRPr="00EF773F">
              <w:t>Função social da propriedade.</w:t>
            </w:r>
          </w:p>
          <w:p w14:paraId="26476104" w14:textId="77777777" w:rsidR="00EF773F" w:rsidRPr="00EF773F" w:rsidRDefault="00EF773F" w:rsidP="00EF773F">
            <w:pPr>
              <w:numPr>
                <w:ilvl w:val="0"/>
                <w:numId w:val="39"/>
              </w:numPr>
              <w:jc w:val="both"/>
            </w:pPr>
            <w:r w:rsidRPr="00EF773F">
              <w:t>Relação dos entes públicos e da questão social pertinente ao tema.</w:t>
            </w:r>
          </w:p>
          <w:p w14:paraId="0D14062A" w14:textId="58D6F987" w:rsidR="00EF773F" w:rsidRPr="00EF773F" w:rsidRDefault="00EF773F" w:rsidP="00EF773F">
            <w:pPr>
              <w:numPr>
                <w:ilvl w:val="0"/>
                <w:numId w:val="39"/>
              </w:numPr>
              <w:jc w:val="both"/>
            </w:pPr>
            <w:r w:rsidRPr="00EF773F">
              <w:t>Experiências de outros órgãos/entes e sociedade civil.</w:t>
            </w:r>
          </w:p>
          <w:p w14:paraId="543D2CE2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Como?</w:t>
            </w:r>
          </w:p>
          <w:p w14:paraId="0CB44C45" w14:textId="7DE70D8C" w:rsidR="00EF773F" w:rsidRPr="00EF773F" w:rsidRDefault="00EF773F" w:rsidP="00EF773F">
            <w:pPr>
              <w:numPr>
                <w:ilvl w:val="0"/>
                <w:numId w:val="40"/>
              </w:numPr>
              <w:jc w:val="both"/>
            </w:pPr>
            <w:r w:rsidRPr="00EF773F">
              <w:t>Reuniões mensais de forma virtual.</w:t>
            </w:r>
          </w:p>
          <w:p w14:paraId="7BDE9BAD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Calendário de atividades</w:t>
            </w:r>
          </w:p>
          <w:p w14:paraId="260726EC" w14:textId="77777777" w:rsidR="00EF773F" w:rsidRPr="00EF773F" w:rsidRDefault="00EF773F" w:rsidP="00EF773F">
            <w:pPr>
              <w:numPr>
                <w:ilvl w:val="0"/>
                <w:numId w:val="40"/>
              </w:numPr>
              <w:jc w:val="both"/>
            </w:pPr>
            <w:r w:rsidRPr="00EF773F">
              <w:t>1 semana antes das reuniões ordinárias (plenária e comissões) 3hs de reunião.</w:t>
            </w:r>
          </w:p>
          <w:p w14:paraId="7B6CF4F0" w14:textId="77777777" w:rsidR="00EF773F" w:rsidRPr="00EF773F" w:rsidRDefault="00EF773F" w:rsidP="00EF773F">
            <w:pPr>
              <w:numPr>
                <w:ilvl w:val="0"/>
                <w:numId w:val="40"/>
              </w:numPr>
              <w:jc w:val="both"/>
            </w:pPr>
            <w:r w:rsidRPr="00EF773F">
              <w:t>Junho/2022</w:t>
            </w:r>
          </w:p>
          <w:p w14:paraId="1DFD86C9" w14:textId="77777777" w:rsidR="00EF773F" w:rsidRPr="00EF773F" w:rsidRDefault="00EF773F" w:rsidP="00EF773F">
            <w:pPr>
              <w:numPr>
                <w:ilvl w:val="0"/>
                <w:numId w:val="40"/>
              </w:numPr>
              <w:jc w:val="both"/>
            </w:pPr>
            <w:r w:rsidRPr="00EF773F">
              <w:t>Evento no início do mês de junho.</w:t>
            </w:r>
          </w:p>
          <w:p w14:paraId="2228A091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Prazo de funcionamento</w:t>
            </w:r>
          </w:p>
          <w:p w14:paraId="0BA4A276" w14:textId="77777777" w:rsidR="00EF773F" w:rsidRPr="00EF773F" w:rsidRDefault="00EF773F" w:rsidP="00EF773F">
            <w:pPr>
              <w:numPr>
                <w:ilvl w:val="0"/>
                <w:numId w:val="42"/>
              </w:numPr>
              <w:jc w:val="both"/>
            </w:pPr>
            <w:r w:rsidRPr="00EF773F">
              <w:t>Seis meses</w:t>
            </w:r>
          </w:p>
          <w:p w14:paraId="45F93CCB" w14:textId="77777777" w:rsidR="00EF773F" w:rsidRPr="00EF773F" w:rsidRDefault="00EF773F" w:rsidP="00CE5C47">
            <w:pPr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F773F">
              <w:rPr>
                <w:b/>
              </w:rPr>
              <w:t>Competências</w:t>
            </w:r>
          </w:p>
          <w:p w14:paraId="059E0CDE" w14:textId="77777777" w:rsidR="00EF773F" w:rsidRPr="00EF773F" w:rsidRDefault="00EF773F" w:rsidP="00EF773F">
            <w:pPr>
              <w:numPr>
                <w:ilvl w:val="0"/>
                <w:numId w:val="41"/>
              </w:numPr>
              <w:jc w:val="both"/>
            </w:pPr>
            <w:r w:rsidRPr="00EF773F">
              <w:t>CAU/PR – Coordenação – Conselheiro Titular</w:t>
            </w:r>
          </w:p>
          <w:p w14:paraId="1B606150" w14:textId="77777777" w:rsidR="00EF773F" w:rsidRPr="00EF773F" w:rsidRDefault="00EF773F" w:rsidP="00EF773F">
            <w:pPr>
              <w:numPr>
                <w:ilvl w:val="0"/>
                <w:numId w:val="41"/>
              </w:numPr>
              <w:jc w:val="both"/>
            </w:pPr>
            <w:r w:rsidRPr="00EF773F">
              <w:t xml:space="preserve">Ministério Público do Paraná </w:t>
            </w:r>
          </w:p>
          <w:p w14:paraId="5B820A89" w14:textId="77777777" w:rsidR="00EF773F" w:rsidRPr="00EF773F" w:rsidRDefault="00EF773F" w:rsidP="00EF773F">
            <w:pPr>
              <w:numPr>
                <w:ilvl w:val="0"/>
                <w:numId w:val="41"/>
              </w:numPr>
              <w:jc w:val="both"/>
            </w:pPr>
            <w:r w:rsidRPr="00EF773F">
              <w:t>Academia/ Institutos de Pesquisa</w:t>
            </w:r>
          </w:p>
          <w:p w14:paraId="26DB06C2" w14:textId="77777777" w:rsidR="00EF773F" w:rsidRPr="00EF773F" w:rsidRDefault="00EF773F" w:rsidP="00EF773F">
            <w:pPr>
              <w:numPr>
                <w:ilvl w:val="0"/>
                <w:numId w:val="41"/>
              </w:numPr>
              <w:jc w:val="both"/>
            </w:pPr>
            <w:r w:rsidRPr="00EF773F">
              <w:t>Governo do Estado</w:t>
            </w:r>
          </w:p>
          <w:p w14:paraId="3B9F03EA" w14:textId="77777777" w:rsidR="00EF773F" w:rsidRPr="00EF773F" w:rsidRDefault="00EF773F" w:rsidP="00EF773F">
            <w:pPr>
              <w:numPr>
                <w:ilvl w:val="0"/>
                <w:numId w:val="41"/>
              </w:numPr>
              <w:jc w:val="both"/>
            </w:pPr>
            <w:r w:rsidRPr="00EF773F">
              <w:t>Movimentos Sociais – Atuação em questões habitacionais.</w:t>
            </w:r>
          </w:p>
          <w:p w14:paraId="7FC7BF1B" w14:textId="08CEFAA0" w:rsidR="00121A6B" w:rsidRPr="00CE5C47" w:rsidRDefault="00EF773F" w:rsidP="00CE5C47">
            <w:pPr>
              <w:pStyle w:val="PargrafodaLista"/>
              <w:numPr>
                <w:ilvl w:val="0"/>
                <w:numId w:val="35"/>
              </w:numPr>
              <w:ind w:left="272" w:hanging="283"/>
              <w:jc w:val="both"/>
            </w:pPr>
            <w:r w:rsidRPr="00CE5C47">
              <w:t>O texto foi acatado por todos os presentes e encaminhado para inserção da pauta da Plenária Ordinária nº 138. Não houveram maiores encaminhamentos.</w:t>
            </w:r>
          </w:p>
        </w:tc>
      </w:tr>
    </w:tbl>
    <w:p w14:paraId="71013797" w14:textId="6378C19D" w:rsidR="00EA3E80" w:rsidRDefault="00EA3E80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EA3E80" w:rsidRPr="00E70087" w14:paraId="228A25DB" w14:textId="77777777" w:rsidTr="00EF2AA0">
        <w:trPr>
          <w:tblHeader/>
        </w:trPr>
        <w:tc>
          <w:tcPr>
            <w:tcW w:w="1843" w:type="dxa"/>
            <w:shd w:val="clear" w:color="auto" w:fill="D9D9D9"/>
          </w:tcPr>
          <w:p w14:paraId="56BE8487" w14:textId="3D6C03FD" w:rsidR="00EA3E80" w:rsidRPr="00E70087" w:rsidRDefault="00EA3E80" w:rsidP="00EF2AA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8" w:type="dxa"/>
            <w:vAlign w:val="center"/>
          </w:tcPr>
          <w:p w14:paraId="65EF25CD" w14:textId="6C349B93" w:rsidR="00EA3E80" w:rsidRPr="00E70087" w:rsidRDefault="00EF773F" w:rsidP="00EF2AA0">
            <w:pPr>
              <w:rPr>
                <w:b/>
              </w:rPr>
            </w:pPr>
            <w:r>
              <w:rPr>
                <w:b/>
              </w:rPr>
              <w:t xml:space="preserve">Semana Nacional de Desenvolvimento Urbano Sustentável </w:t>
            </w:r>
          </w:p>
        </w:tc>
      </w:tr>
      <w:tr w:rsidR="00EA3E80" w:rsidRPr="00E70087" w14:paraId="40D239A3" w14:textId="77777777" w:rsidTr="00EF2AA0">
        <w:tc>
          <w:tcPr>
            <w:tcW w:w="1843" w:type="dxa"/>
            <w:shd w:val="clear" w:color="auto" w:fill="D9D9D9"/>
          </w:tcPr>
          <w:p w14:paraId="28DB0A1E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761FE647" w14:textId="0B16DAFD" w:rsidR="00EA3E80" w:rsidRPr="00E70087" w:rsidRDefault="00EF773F" w:rsidP="00EF2AA0"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Leocádio</w:t>
            </w:r>
            <w:proofErr w:type="spellEnd"/>
            <w:r>
              <w:t xml:space="preserve"> </w:t>
            </w:r>
            <w:proofErr w:type="spellStart"/>
            <w:r>
              <w:t>Hütner</w:t>
            </w:r>
            <w:proofErr w:type="spellEnd"/>
            <w:r>
              <w:t xml:space="preserve"> Junior</w:t>
            </w:r>
          </w:p>
        </w:tc>
      </w:tr>
      <w:tr w:rsidR="00EA3E80" w:rsidRPr="00E70087" w14:paraId="3932CC27" w14:textId="77777777" w:rsidTr="00EF2AA0">
        <w:tc>
          <w:tcPr>
            <w:tcW w:w="1843" w:type="dxa"/>
            <w:shd w:val="clear" w:color="auto" w:fill="D9D9D9"/>
          </w:tcPr>
          <w:p w14:paraId="5BFA0831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221921CF" w14:textId="287C948B" w:rsidR="00EA3E80" w:rsidRPr="00E70087" w:rsidRDefault="00EF773F" w:rsidP="00EF2AA0">
            <w:pPr>
              <w:rPr>
                <w:bCs/>
              </w:rPr>
            </w:pP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Leocádio</w:t>
            </w:r>
            <w:proofErr w:type="spellEnd"/>
            <w:r>
              <w:t xml:space="preserve"> </w:t>
            </w:r>
            <w:proofErr w:type="spellStart"/>
            <w:r>
              <w:t>Hütner</w:t>
            </w:r>
            <w:proofErr w:type="spellEnd"/>
            <w:r>
              <w:t xml:space="preserve"> Junior</w:t>
            </w:r>
          </w:p>
        </w:tc>
      </w:tr>
      <w:tr w:rsidR="00EA3E80" w:rsidRPr="00E70087" w14:paraId="491EECE2" w14:textId="77777777" w:rsidTr="00EF2AA0">
        <w:tc>
          <w:tcPr>
            <w:tcW w:w="1843" w:type="dxa"/>
            <w:shd w:val="clear" w:color="auto" w:fill="D9D9D9"/>
          </w:tcPr>
          <w:p w14:paraId="6CCED8B8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565D01E7" w14:textId="2187566E" w:rsidR="00EA3E80" w:rsidRPr="00CE5C47" w:rsidRDefault="00EF773F" w:rsidP="00CE5C47">
            <w:pPr>
              <w:pStyle w:val="PargrafodaLista"/>
              <w:numPr>
                <w:ilvl w:val="3"/>
                <w:numId w:val="43"/>
              </w:numPr>
              <w:ind w:left="272" w:hanging="283"/>
              <w:jc w:val="both"/>
            </w:pPr>
            <w:r w:rsidRPr="00CE5C47">
              <w:t xml:space="preserve">O Coordenador da CPUA </w:t>
            </w:r>
            <w:r w:rsidR="00DF3359" w:rsidRPr="00CE5C47">
              <w:t xml:space="preserve">ORMY LEOCÁDIO HÜTNER JUNIOR </w:t>
            </w:r>
            <w:r w:rsidRPr="00CE5C47">
              <w:t xml:space="preserve">apresentou um relatório de conclusão da Semana Nacional de Desenvolvimento Urbano Sustentável que participou juntamente com o Conselheiro </w:t>
            </w:r>
            <w:r w:rsidR="00DF3359" w:rsidRPr="00CE5C47">
              <w:t>WALTER GUSTAVO LINZMEYER</w:t>
            </w:r>
            <w:r w:rsidRPr="00CE5C47">
              <w:t>, entre os dias 6 e 10 de dezembro. Segundo ele a ideia é que a CPUA possa</w:t>
            </w:r>
            <w:r w:rsidR="00034F02" w:rsidRPr="00CE5C47">
              <w:t xml:space="preserve"> abordar em suas reuniões, temas que envolvam os</w:t>
            </w:r>
            <w:r w:rsidR="00DF3359">
              <w:t xml:space="preserve"> 16 Objetivos de Desenvolvimento U</w:t>
            </w:r>
            <w:r w:rsidRPr="00CE5C47">
              <w:t>rbano</w:t>
            </w:r>
            <w:r w:rsidR="00DF3359">
              <w:t xml:space="preserve"> (</w:t>
            </w:r>
            <w:proofErr w:type="spellStart"/>
            <w:r w:rsidR="00DF3359">
              <w:t>ODUs</w:t>
            </w:r>
            <w:proofErr w:type="spellEnd"/>
            <w:r w:rsidR="00DF3359">
              <w:t>)</w:t>
            </w:r>
            <w:r w:rsidRPr="00CE5C47">
              <w:t xml:space="preserve"> durante o ano de 2022. </w:t>
            </w:r>
            <w:r w:rsidR="00034F02" w:rsidRPr="00CE5C47">
              <w:t xml:space="preserve">Não havendo outros itens de pauta o Coordenador </w:t>
            </w:r>
            <w:r w:rsidR="00DF3359" w:rsidRPr="00CE5C47">
              <w:t>ORMY LEOCÁDIO HÜTNER JUNIOR</w:t>
            </w:r>
            <w:r w:rsidR="00034F02" w:rsidRPr="00CE5C47">
              <w:t>, abriu a palavra para considerações dos finais dos conselheiros presentes e na sequência encerrou a reunião.</w:t>
            </w:r>
          </w:p>
        </w:tc>
      </w:tr>
    </w:tbl>
    <w:p w14:paraId="3EEE7791" w14:textId="08D86757" w:rsidR="00D72F9F" w:rsidRDefault="00D72F9F" w:rsidP="000D6D5B">
      <w:pPr>
        <w:rPr>
          <w:rFonts w:ascii="Times New Roman" w:hAnsi="Times New Roman"/>
        </w:rPr>
      </w:pPr>
    </w:p>
    <w:p w14:paraId="092778B4" w14:textId="48EC9403" w:rsidR="00470D1B" w:rsidRDefault="00470D1B" w:rsidP="00E05F2F">
      <w:pPr>
        <w:rPr>
          <w:rFonts w:ascii="Times New Roman" w:hAnsi="Times New Roman"/>
        </w:rPr>
      </w:pPr>
    </w:p>
    <w:p w14:paraId="7475E8F2" w14:textId="77777777" w:rsidR="007B5B68" w:rsidRPr="00E70087" w:rsidRDefault="007B5B68" w:rsidP="00E05F2F">
      <w:pPr>
        <w:rPr>
          <w:rFonts w:ascii="Times New Roman" w:hAnsi="Times New Roman"/>
        </w:rPr>
      </w:pPr>
    </w:p>
    <w:p w14:paraId="0854D48C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5F128E" w:rsidRPr="00E70087" w14:paraId="5E863C3E" w14:textId="77777777" w:rsidTr="00CE5C47">
        <w:tc>
          <w:tcPr>
            <w:tcW w:w="4814" w:type="dxa"/>
            <w:vAlign w:val="center"/>
          </w:tcPr>
          <w:p w14:paraId="4BE6DA52" w14:textId="6A57AF9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ORMY LEOCADIO HUTNER JUNIOR</w:t>
            </w:r>
          </w:p>
          <w:p w14:paraId="72526C07" w14:textId="283D3FAA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 xml:space="preserve">Coordenador </w:t>
            </w:r>
            <w:r w:rsidR="00D10B46">
              <w:t>CPUA</w:t>
            </w:r>
            <w:r w:rsidRPr="00E70087">
              <w:t>-CAU/PR</w:t>
            </w:r>
          </w:p>
        </w:tc>
        <w:tc>
          <w:tcPr>
            <w:tcW w:w="4826" w:type="dxa"/>
            <w:vAlign w:val="center"/>
          </w:tcPr>
          <w:p w14:paraId="5F074C7D" w14:textId="28C1394F" w:rsidR="005F128E" w:rsidRPr="00E70087" w:rsidRDefault="00034F02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ALESSANDRO BONCOMPAGNI JUNIOR</w:t>
            </w:r>
          </w:p>
          <w:p w14:paraId="360E52AB" w14:textId="5D4A6F69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>Assistente da C</w:t>
            </w:r>
            <w:r w:rsidR="00D10B46">
              <w:t>PUA</w:t>
            </w:r>
            <w:r w:rsidRPr="00E70087">
              <w:t>-CAU/PR</w:t>
            </w:r>
          </w:p>
        </w:tc>
      </w:tr>
    </w:tbl>
    <w:p w14:paraId="64C0C4AB" w14:textId="7C444D7E" w:rsidR="00D0133C" w:rsidRPr="00E70087" w:rsidRDefault="00D0133C" w:rsidP="00434E13">
      <w:pPr>
        <w:rPr>
          <w:rFonts w:ascii="Times New Roman" w:hAnsi="Times New Roman"/>
        </w:rPr>
      </w:pPr>
    </w:p>
    <w:p w14:paraId="2A83B212" w14:textId="517F2817" w:rsidR="00F2047D" w:rsidRPr="00E70087" w:rsidRDefault="00BB0193" w:rsidP="00434E13">
      <w:pPr>
        <w:rPr>
          <w:rFonts w:ascii="Times New Roman" w:hAnsi="Times New Roman"/>
        </w:rPr>
      </w:pPr>
      <w:r>
        <w:rPr>
          <w:rFonts w:ascii="Times New Roman" w:hAnsi="Times New Roman"/>
        </w:rPr>
        <w:t>A sumula foi aprovada dia 08/12/2023. Sem a presença da conselheira CONSTANÇA que não pertence mais a está comissão</w:t>
      </w:r>
      <w:r>
        <w:rPr>
          <w:rFonts w:ascii="Times New Roman" w:hAnsi="Times New Roman"/>
        </w:rPr>
        <w:t>.</w:t>
      </w:r>
    </w:p>
    <w:p w14:paraId="6DEC3729" w14:textId="106DFEE4" w:rsidR="0019761F" w:rsidRPr="00E70087" w:rsidRDefault="0019761F" w:rsidP="0019761F">
      <w:pPr>
        <w:jc w:val="center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Curitiba (PR), </w:t>
      </w:r>
      <w:r w:rsidR="00034F02">
        <w:rPr>
          <w:rFonts w:ascii="Times New Roman" w:hAnsi="Times New Roman"/>
        </w:rPr>
        <w:t>13</w:t>
      </w:r>
      <w:r w:rsidR="003A51BB">
        <w:rPr>
          <w:rFonts w:ascii="Times New Roman" w:hAnsi="Times New Roman"/>
        </w:rPr>
        <w:t xml:space="preserve"> de </w:t>
      </w:r>
      <w:r w:rsidR="00034F02">
        <w:rPr>
          <w:rFonts w:ascii="Times New Roman" w:hAnsi="Times New Roman"/>
        </w:rPr>
        <w:t>dezembro</w:t>
      </w:r>
      <w:r w:rsidRPr="00E70087">
        <w:rPr>
          <w:rFonts w:ascii="Times New Roman" w:hAnsi="Times New Roman"/>
        </w:rPr>
        <w:t xml:space="preserve"> de 2021.</w:t>
      </w:r>
    </w:p>
    <w:p w14:paraId="1A0D19A8" w14:textId="77777777" w:rsidR="0019761F" w:rsidRPr="00E70087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E70087" w:rsidRDefault="0019761F" w:rsidP="0019761F">
      <w:pPr>
        <w:jc w:val="both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70087">
        <w:rPr>
          <w:rFonts w:ascii="Times New Roman" w:hAnsi="Times New Roman"/>
          <w:b/>
          <w:bCs/>
        </w:rPr>
        <w:t>atesto a veracidade e a autenticidade das informações prestadas</w:t>
      </w:r>
      <w:r w:rsidRPr="00E70087">
        <w:rPr>
          <w:rFonts w:ascii="Times New Roman" w:hAnsi="Times New Roman"/>
        </w:rPr>
        <w:t>.</w:t>
      </w:r>
    </w:p>
    <w:p w14:paraId="6A3E4280" w14:textId="77777777" w:rsidR="00434E13" w:rsidRDefault="00434E13" w:rsidP="00434E13">
      <w:pPr>
        <w:rPr>
          <w:rFonts w:ascii="Times New Roman" w:hAnsi="Times New Roman"/>
        </w:rPr>
      </w:pPr>
    </w:p>
    <w:p w14:paraId="4967B47B" w14:textId="77777777" w:rsidR="00F2047D" w:rsidRPr="00E70087" w:rsidRDefault="00F2047D" w:rsidP="00434E13">
      <w:pPr>
        <w:rPr>
          <w:rFonts w:ascii="Times New Roman" w:hAnsi="Times New Roman"/>
        </w:rPr>
      </w:pPr>
    </w:p>
    <w:p w14:paraId="209F50A4" w14:textId="5BF4B727" w:rsidR="00CE5C47" w:rsidRDefault="00CE5C47" w:rsidP="00CE5C47">
      <w:pPr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1</w:t>
      </w:r>
      <w:r w:rsidR="00807A01">
        <w:rPr>
          <w:rFonts w:ascii="Times New Roman" w:eastAsia="Calibri" w:hAnsi="Times New Roman"/>
          <w:b/>
          <w:bCs/>
          <w:sz w:val="22"/>
          <w:szCs w:val="22"/>
        </w:rPr>
        <w:t>1</w:t>
      </w:r>
      <w:r w:rsidR="00D8715D">
        <w:rPr>
          <w:rFonts w:ascii="Times New Roman" w:eastAsia="Calibri" w:hAnsi="Times New Roman"/>
          <w:b/>
          <w:bCs/>
          <w:sz w:val="22"/>
          <w:szCs w:val="22"/>
        </w:rPr>
        <w:t>ª REUNIÃO ORDINÁRIA 2021</w:t>
      </w:r>
      <w:r>
        <w:rPr>
          <w:rFonts w:ascii="Times New Roman" w:eastAsia="Calibri" w:hAnsi="Times New Roman"/>
          <w:b/>
          <w:bCs/>
          <w:sz w:val="22"/>
          <w:szCs w:val="22"/>
        </w:rPr>
        <w:t xml:space="preserve"> DA CPUA-CAU/PR</w:t>
      </w:r>
    </w:p>
    <w:p w14:paraId="1AE55E53" w14:textId="77777777" w:rsidR="00CE5C47" w:rsidRDefault="00CE5C47" w:rsidP="00CE5C4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C605936" w14:textId="77777777" w:rsidR="00CE5C47" w:rsidRPr="00CE5717" w:rsidRDefault="00CE5C47" w:rsidP="00CE5C47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CE5717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CE5C47" w:rsidRPr="00CE5717" w14:paraId="346C02AC" w14:textId="77777777" w:rsidTr="003F246C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B5C43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1F42B1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E5DAA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CE5C47" w:rsidRPr="00CE5717" w14:paraId="5DF20590" w14:textId="77777777" w:rsidTr="003F246C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F5801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FD7D6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7EC6F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620F0" w14:textId="77777777" w:rsidR="00CE5C47" w:rsidRPr="00CE5717" w:rsidRDefault="00CE5C47" w:rsidP="003F246C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A5D05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0F6DC0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E5C47" w:rsidRPr="00CE5717" w14:paraId="1C126A29" w14:textId="77777777" w:rsidTr="003F246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C429A" w14:textId="77777777" w:rsidR="00CE5C47" w:rsidRPr="00CE5717" w:rsidRDefault="00CE5C47" w:rsidP="003F246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3C6E4" w14:textId="77777777" w:rsidR="00CE5C47" w:rsidRPr="00CE5717" w:rsidRDefault="00CE5C47" w:rsidP="003F246C">
            <w:pPr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CE5717">
              <w:rPr>
                <w:rFonts w:ascii="Times New Roman" w:eastAsia="Cambria" w:hAnsi="Times New Roman"/>
                <w:sz w:val="20"/>
                <w:szCs w:val="20"/>
              </w:rPr>
              <w:t>Ormy</w:t>
            </w:r>
            <w:proofErr w:type="spellEnd"/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proofErr w:type="spellStart"/>
            <w:r w:rsidRPr="00CE5717">
              <w:rPr>
                <w:rFonts w:ascii="Times New Roman" w:eastAsia="Cambria" w:hAnsi="Times New Roman"/>
                <w:sz w:val="20"/>
                <w:szCs w:val="20"/>
              </w:rPr>
              <w:t>Leocádio</w:t>
            </w:r>
            <w:proofErr w:type="spellEnd"/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proofErr w:type="spellStart"/>
            <w:r w:rsidRPr="00CE5717">
              <w:rPr>
                <w:rFonts w:ascii="Times New Roman" w:eastAsia="Cambria" w:hAnsi="Times New Roman"/>
                <w:sz w:val="20"/>
                <w:szCs w:val="20"/>
              </w:rPr>
              <w:t>Hütner</w:t>
            </w:r>
            <w:proofErr w:type="spellEnd"/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1F477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5C58B1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34182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515CE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E5C47" w:rsidRPr="00CE5717" w14:paraId="5FEA0F7B" w14:textId="77777777" w:rsidTr="003F246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F7725" w14:textId="77777777" w:rsidR="00CE5C47" w:rsidRPr="00CE5717" w:rsidRDefault="00CE5C47" w:rsidP="003F246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A8E85" w14:textId="61F3C346" w:rsidR="00CE5C47" w:rsidRPr="00CE5717" w:rsidRDefault="00CE5C47" w:rsidP="003F246C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Constança Lacerda Camargo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A7A7C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98564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4F3CD2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D3FEC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E5C47" w:rsidRPr="00CE5717" w14:paraId="540E29BC" w14:textId="77777777" w:rsidTr="003F246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0DE37" w14:textId="77777777" w:rsidR="00CE5C47" w:rsidRPr="00CE5717" w:rsidRDefault="00CE5C47" w:rsidP="003F246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39B979" w14:textId="77777777" w:rsidR="00CE5C47" w:rsidRPr="00CE5717" w:rsidRDefault="00CE5C47" w:rsidP="003F246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CE5717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CE571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E5717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D3A75" w14:textId="5F9741AC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8A319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5D505" w14:textId="77777777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9D99E" w14:textId="48BF5D3E" w:rsidR="00CE5C47" w:rsidRPr="00CE5717" w:rsidRDefault="00CE5C47" w:rsidP="003F246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CE5C47" w:rsidRPr="00CE5717" w14:paraId="64993534" w14:textId="77777777" w:rsidTr="003F246C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35E8F" w14:textId="77777777" w:rsidR="00CE5C47" w:rsidRPr="00CE5717" w:rsidRDefault="00CE5C47" w:rsidP="003F246C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8F779B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EC3F1D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583E1227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4B3B1B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276BF3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652DC2" w14:textId="77777777" w:rsidR="00CE5C47" w:rsidRPr="00CE5717" w:rsidRDefault="00CE5C47" w:rsidP="003F246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CE5C47" w:rsidRPr="00CE5717" w14:paraId="7E3CA1BB" w14:textId="77777777" w:rsidTr="003F246C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649B01E7" w14:textId="0F46B1BF" w:rsidR="00CE5C47" w:rsidRPr="00CE5717" w:rsidRDefault="00CE5C47" w:rsidP="003F246C">
            <w:pPr>
              <w:spacing w:before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</w:t>
            </w:r>
            <w:r w:rsidR="00807A01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</w:t>
            </w:r>
            <w:r w:rsidR="00D8715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DA CPUA-CAU/PR</w:t>
            </w:r>
          </w:p>
          <w:p w14:paraId="29A4D7FB" w14:textId="1AE9B082" w:rsidR="00CE5C47" w:rsidRPr="00CE5717" w:rsidRDefault="00CE5C47" w:rsidP="003F246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13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</w:t>
            </w:r>
          </w:p>
          <w:p w14:paraId="33FE8297" w14:textId="1FAA82C1" w:rsidR="00CE5C47" w:rsidRPr="00CE5717" w:rsidRDefault="00CE5C47" w:rsidP="003F2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Criação da Comissão Temporária de ATHIS</w:t>
            </w:r>
          </w:p>
          <w:p w14:paraId="45E49C7E" w14:textId="7C5DB800" w:rsidR="00CE5C47" w:rsidRPr="00CE5717" w:rsidRDefault="00CE5C47" w:rsidP="003F246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D8715D">
              <w:rPr>
                <w:rFonts w:ascii="Times New Roman" w:eastAsia="Cambria" w:hAnsi="Times New Roman"/>
                <w:sz w:val="20"/>
                <w:szCs w:val="20"/>
              </w:rPr>
              <w:t>3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="00D8715D">
              <w:rPr>
                <w:rFonts w:ascii="Times New Roman" w:eastAsia="Cambria" w:hAnsi="Times New Roman"/>
                <w:sz w:val="20"/>
                <w:szCs w:val="20"/>
              </w:rPr>
              <w:t xml:space="preserve"> (0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D8715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3</w:t>
            </w:r>
            <w:r w:rsidRPr="00CE5717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6E546C1B" w14:textId="77777777" w:rsidR="00CE5C47" w:rsidRPr="00CE5717" w:rsidRDefault="00CE5C47" w:rsidP="003F246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CE571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37C43BF3" w14:textId="77777777" w:rsidR="00CE5C47" w:rsidRPr="00CE5717" w:rsidRDefault="00CE5C47" w:rsidP="003F24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717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Assistência:</w:t>
            </w:r>
            <w:r w:rsidRPr="00CE57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717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Alessandro Boncompagni Junior 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•</w:t>
            </w:r>
            <w:r w:rsidRPr="00CE5717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CE5717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Condução Trabalhos:</w:t>
            </w:r>
            <w:r w:rsidRPr="00CE5717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</w:t>
            </w:r>
            <w:proofErr w:type="spellEnd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Leocádio</w:t>
            </w:r>
            <w:proofErr w:type="spellEnd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Hütner</w:t>
            </w:r>
            <w:proofErr w:type="spellEnd"/>
            <w:r w:rsidRPr="00CE571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Júnior</w:t>
            </w:r>
          </w:p>
        </w:tc>
      </w:tr>
    </w:tbl>
    <w:p w14:paraId="1B20F2BF" w14:textId="77777777" w:rsidR="006F65F8" w:rsidRPr="00E70087" w:rsidRDefault="006F65F8" w:rsidP="00DA4498">
      <w:pPr>
        <w:rPr>
          <w:rFonts w:ascii="Times New Roman" w:hAnsi="Times New Roman"/>
        </w:rPr>
      </w:pPr>
    </w:p>
    <w:sectPr w:rsidR="006F65F8" w:rsidRPr="00E70087" w:rsidSect="00173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205D" w14:textId="77777777" w:rsidR="00B959A4" w:rsidRDefault="00B959A4" w:rsidP="003710CC">
      <w:r>
        <w:separator/>
      </w:r>
    </w:p>
  </w:endnote>
  <w:endnote w:type="continuationSeparator" w:id="0">
    <w:p w14:paraId="0CA99FEE" w14:textId="77777777" w:rsidR="00B959A4" w:rsidRDefault="00B959A4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700D673B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 xml:space="preserve">Sede Av. Nossa Senhora da Luz, 2.530| 80045-360 | Curitiba/PR | Fone: </w:t>
    </w:r>
    <w:r w:rsidRPr="00E0729E">
      <w:rPr>
        <w:bCs/>
        <w:color w:val="A6A6A6" w:themeColor="background1" w:themeShade="A6"/>
        <w:sz w:val="18"/>
      </w:rPr>
      <w:t>+55(41)3218</w:t>
    </w:r>
    <w:r w:rsidR="007641C7">
      <w:rPr>
        <w:bCs/>
        <w:color w:val="A6A6A6" w:themeColor="background1" w:themeShade="A6"/>
        <w:sz w:val="18"/>
      </w:rPr>
      <w:t>2</w:t>
    </w:r>
    <w:bookmarkStart w:id="0" w:name="_GoBack"/>
    <w:bookmarkEnd w:id="0"/>
    <w:r w:rsidRPr="00E0729E">
      <w:rPr>
        <w:bCs/>
        <w:color w:val="A6A6A6" w:themeColor="background1" w:themeShade="A6"/>
        <w:sz w:val="18"/>
      </w:rPr>
      <w:t>0200</w:t>
    </w:r>
  </w:p>
  <w:p w14:paraId="12008F92" w14:textId="1D7D9BB7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D8715D">
      <w:rPr>
        <w:b/>
        <w:color w:val="A6A6A6" w:themeColor="background1" w:themeShade="A6"/>
        <w:sz w:val="18"/>
      </w:rPr>
      <w:t>11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14574C">
      <w:rPr>
        <w:b/>
        <w:color w:val="A6A6A6" w:themeColor="background1" w:themeShade="A6"/>
        <w:sz w:val="18"/>
      </w:rPr>
      <w:t xml:space="preserve"> CPUA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D8715D">
      <w:rPr>
        <w:b/>
        <w:color w:val="A6A6A6" w:themeColor="background1" w:themeShade="A6"/>
        <w:sz w:val="18"/>
      </w:rPr>
      <w:t xml:space="preserve">13 </w:t>
    </w:r>
    <w:r w:rsidR="00C1417A" w:rsidRPr="00E0729E">
      <w:rPr>
        <w:b/>
        <w:color w:val="A6A6A6" w:themeColor="background1" w:themeShade="A6"/>
        <w:sz w:val="18"/>
      </w:rPr>
      <w:t xml:space="preserve">de </w:t>
    </w:r>
    <w:r w:rsidR="00D8715D">
      <w:rPr>
        <w:b/>
        <w:color w:val="A6A6A6" w:themeColor="background1" w:themeShade="A6"/>
        <w:sz w:val="18"/>
      </w:rPr>
      <w:t>dezembro</w:t>
    </w:r>
    <w:r w:rsidR="008B3383" w:rsidRPr="00E0729E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7641C7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7641C7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7E6B" w14:textId="77777777" w:rsidR="007641C7" w:rsidRDefault="00764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5C53" w14:textId="77777777" w:rsidR="00B959A4" w:rsidRDefault="00B959A4" w:rsidP="003710CC">
      <w:r>
        <w:separator/>
      </w:r>
    </w:p>
  </w:footnote>
  <w:footnote w:type="continuationSeparator" w:id="0">
    <w:p w14:paraId="1CA3F1A2" w14:textId="77777777" w:rsidR="00B959A4" w:rsidRDefault="00B959A4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516B" w14:textId="77777777" w:rsidR="007641C7" w:rsidRDefault="007641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3014ACD9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</w:t>
    </w:r>
    <w:r w:rsidR="00A0352E">
      <w:rPr>
        <w:bCs/>
        <w:color w:val="006666"/>
        <w:sz w:val="18"/>
      </w:rPr>
      <w:t>ão de Política Urbana e Ambiental | CPUA</w:t>
    </w:r>
    <w:r w:rsidRPr="005D1F64">
      <w:rPr>
        <w:bCs/>
        <w:color w:val="006666"/>
        <w:sz w:val="18"/>
      </w:rPr>
      <w:t>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898D" w14:textId="77777777" w:rsidR="007641C7" w:rsidRDefault="007641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2C9A"/>
    <w:multiLevelType w:val="hybridMultilevel"/>
    <w:tmpl w:val="8DBE27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58B5"/>
    <w:multiLevelType w:val="multilevel"/>
    <w:tmpl w:val="D1C86A70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93DFC"/>
    <w:multiLevelType w:val="hybridMultilevel"/>
    <w:tmpl w:val="3E2A1A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28A0280"/>
    <w:multiLevelType w:val="hybridMultilevel"/>
    <w:tmpl w:val="DE3EA5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C036A7"/>
    <w:multiLevelType w:val="hybridMultilevel"/>
    <w:tmpl w:val="3AC4C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F6940"/>
    <w:multiLevelType w:val="hybridMultilevel"/>
    <w:tmpl w:val="035887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3563F"/>
    <w:multiLevelType w:val="hybridMultilevel"/>
    <w:tmpl w:val="D8E46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7287F34"/>
    <w:multiLevelType w:val="multilevel"/>
    <w:tmpl w:val="7E08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0926"/>
    <w:multiLevelType w:val="hybridMultilevel"/>
    <w:tmpl w:val="49BE4D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9"/>
  </w:num>
  <w:num w:numId="5">
    <w:abstractNumId w:val="3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19"/>
  </w:num>
  <w:num w:numId="10">
    <w:abstractNumId w:val="41"/>
  </w:num>
  <w:num w:numId="11">
    <w:abstractNumId w:val="18"/>
  </w:num>
  <w:num w:numId="12">
    <w:abstractNumId w:val="0"/>
  </w:num>
  <w:num w:numId="13">
    <w:abstractNumId w:val="40"/>
  </w:num>
  <w:num w:numId="14">
    <w:abstractNumId w:val="35"/>
  </w:num>
  <w:num w:numId="15">
    <w:abstractNumId w:val="6"/>
  </w:num>
  <w:num w:numId="16">
    <w:abstractNumId w:val="38"/>
  </w:num>
  <w:num w:numId="17">
    <w:abstractNumId w:val="14"/>
  </w:num>
  <w:num w:numId="18">
    <w:abstractNumId w:val="10"/>
  </w:num>
  <w:num w:numId="19">
    <w:abstractNumId w:val="21"/>
  </w:num>
  <w:num w:numId="20">
    <w:abstractNumId w:val="2"/>
  </w:num>
  <w:num w:numId="21">
    <w:abstractNumId w:val="7"/>
  </w:num>
  <w:num w:numId="22">
    <w:abstractNumId w:val="4"/>
  </w:num>
  <w:num w:numId="23">
    <w:abstractNumId w:val="23"/>
  </w:num>
  <w:num w:numId="24">
    <w:abstractNumId w:val="42"/>
  </w:num>
  <w:num w:numId="25">
    <w:abstractNumId w:val="24"/>
  </w:num>
  <w:num w:numId="26">
    <w:abstractNumId w:val="16"/>
  </w:num>
  <w:num w:numId="27">
    <w:abstractNumId w:val="32"/>
  </w:num>
  <w:num w:numId="28">
    <w:abstractNumId w:val="8"/>
  </w:num>
  <w:num w:numId="29">
    <w:abstractNumId w:val="11"/>
  </w:num>
  <w:num w:numId="30">
    <w:abstractNumId w:val="27"/>
  </w:num>
  <w:num w:numId="31">
    <w:abstractNumId w:val="5"/>
  </w:num>
  <w:num w:numId="32">
    <w:abstractNumId w:val="34"/>
  </w:num>
  <w:num w:numId="33">
    <w:abstractNumId w:val="26"/>
  </w:num>
  <w:num w:numId="34">
    <w:abstractNumId w:val="13"/>
  </w:num>
  <w:num w:numId="35">
    <w:abstractNumId w:val="37"/>
  </w:num>
  <w:num w:numId="36">
    <w:abstractNumId w:val="28"/>
  </w:num>
  <w:num w:numId="37">
    <w:abstractNumId w:val="20"/>
  </w:num>
  <w:num w:numId="38">
    <w:abstractNumId w:val="33"/>
  </w:num>
  <w:num w:numId="39">
    <w:abstractNumId w:val="39"/>
  </w:num>
  <w:num w:numId="40">
    <w:abstractNumId w:val="22"/>
  </w:num>
  <w:num w:numId="41">
    <w:abstractNumId w:val="12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4F02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750DE"/>
    <w:rsid w:val="000806F2"/>
    <w:rsid w:val="00080E06"/>
    <w:rsid w:val="00081803"/>
    <w:rsid w:val="00081F09"/>
    <w:rsid w:val="00083664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97768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A7129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948"/>
    <w:rsid w:val="000D6D5B"/>
    <w:rsid w:val="000E0B78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A6B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574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030B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222B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3B4A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088D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51BB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09A8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6436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2CDE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1844"/>
    <w:rsid w:val="00463117"/>
    <w:rsid w:val="00463534"/>
    <w:rsid w:val="0046413E"/>
    <w:rsid w:val="0046595D"/>
    <w:rsid w:val="00466D88"/>
    <w:rsid w:val="004677F9"/>
    <w:rsid w:val="00470D1B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477A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378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15BD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05C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C74E3"/>
    <w:rsid w:val="005D058D"/>
    <w:rsid w:val="005D1F64"/>
    <w:rsid w:val="005D2761"/>
    <w:rsid w:val="005D2A16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0AB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293B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45F2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86C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1911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1EA2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41C7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B68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881"/>
    <w:rsid w:val="007F0DE7"/>
    <w:rsid w:val="007F0ECF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07A01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1A0"/>
    <w:rsid w:val="0089699B"/>
    <w:rsid w:val="00896A2B"/>
    <w:rsid w:val="00897713"/>
    <w:rsid w:val="0089781E"/>
    <w:rsid w:val="008A0EC7"/>
    <w:rsid w:val="008A15CB"/>
    <w:rsid w:val="008A277E"/>
    <w:rsid w:val="008A3506"/>
    <w:rsid w:val="008A37DE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50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5A5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0E07"/>
    <w:rsid w:val="009F1132"/>
    <w:rsid w:val="009F3D63"/>
    <w:rsid w:val="009F5C49"/>
    <w:rsid w:val="009F7DC2"/>
    <w:rsid w:val="009F7FC5"/>
    <w:rsid w:val="00A016AB"/>
    <w:rsid w:val="00A0352E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3F97"/>
    <w:rsid w:val="00A54D95"/>
    <w:rsid w:val="00A550CE"/>
    <w:rsid w:val="00A5573A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1F41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37DFA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6FFF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9A4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0193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4D5A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2B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196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6D1B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5C47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0B46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1D7A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2F9F"/>
    <w:rsid w:val="00D73058"/>
    <w:rsid w:val="00D74C44"/>
    <w:rsid w:val="00D75654"/>
    <w:rsid w:val="00D80426"/>
    <w:rsid w:val="00D80DAD"/>
    <w:rsid w:val="00D82DEA"/>
    <w:rsid w:val="00D83356"/>
    <w:rsid w:val="00D86A91"/>
    <w:rsid w:val="00D8715D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498"/>
    <w:rsid w:val="00DA4F06"/>
    <w:rsid w:val="00DA6B04"/>
    <w:rsid w:val="00DA7F0D"/>
    <w:rsid w:val="00DB03A4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359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087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3E80"/>
    <w:rsid w:val="00EA41D4"/>
    <w:rsid w:val="00EA5D90"/>
    <w:rsid w:val="00EA71DE"/>
    <w:rsid w:val="00EA7EF2"/>
    <w:rsid w:val="00EA7F97"/>
    <w:rsid w:val="00EB036B"/>
    <w:rsid w:val="00EB1E9E"/>
    <w:rsid w:val="00EB3C29"/>
    <w:rsid w:val="00EB3F3B"/>
    <w:rsid w:val="00EB69C9"/>
    <w:rsid w:val="00EB6C30"/>
    <w:rsid w:val="00EC16EC"/>
    <w:rsid w:val="00EC2059"/>
    <w:rsid w:val="00EC2565"/>
    <w:rsid w:val="00EC293A"/>
    <w:rsid w:val="00EC42E5"/>
    <w:rsid w:val="00EC48CB"/>
    <w:rsid w:val="00EC541F"/>
    <w:rsid w:val="00EC5E4E"/>
    <w:rsid w:val="00EC67CB"/>
    <w:rsid w:val="00EC7569"/>
    <w:rsid w:val="00ED044D"/>
    <w:rsid w:val="00ED1B46"/>
    <w:rsid w:val="00ED2BB8"/>
    <w:rsid w:val="00ED2F25"/>
    <w:rsid w:val="00ED2F6A"/>
    <w:rsid w:val="00ED314C"/>
    <w:rsid w:val="00ED4B45"/>
    <w:rsid w:val="00ED5151"/>
    <w:rsid w:val="00ED5961"/>
    <w:rsid w:val="00ED5FBF"/>
    <w:rsid w:val="00ED796F"/>
    <w:rsid w:val="00EE2170"/>
    <w:rsid w:val="00EE2472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73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047D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11A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2A07"/>
    <w:rsid w:val="00FC3530"/>
    <w:rsid w:val="00FC3E32"/>
    <w:rsid w:val="00FC56D7"/>
    <w:rsid w:val="00FC6549"/>
    <w:rsid w:val="00FC6613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705B-A7EF-4F14-8EDA-98D3EA73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user</cp:lastModifiedBy>
  <cp:revision>18</cp:revision>
  <cp:lastPrinted>2023-12-08T18:51:00Z</cp:lastPrinted>
  <dcterms:created xsi:type="dcterms:W3CDTF">2021-11-15T18:50:00Z</dcterms:created>
  <dcterms:modified xsi:type="dcterms:W3CDTF">2023-12-08T18:51:00Z</dcterms:modified>
</cp:coreProperties>
</file>